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E8" w:rsidP="00661167" w:rsidRDefault="00025CE8"/>
    <w:p w:rsidRPr="0062535F" w:rsidR="0062535F" w:rsidP="0062535F" w:rsidRDefault="0062535F">
      <w:pPr>
        <w:numPr>
          <w:ilvl w:val="0"/>
          <w:numId w:val="59"/>
        </w:numPr>
        <w:contextualSpacing/>
        <w:rPr>
          <w:rFonts w:eastAsia="Calibri"/>
          <w:b/>
          <w:color w:val="AC182D"/>
          <w:sz w:val="24"/>
          <w:lang w:eastAsia="en-US"/>
        </w:rPr>
      </w:pPr>
      <w:r w:rsidRPr="0062535F">
        <w:rPr>
          <w:rFonts w:eastAsia="Calibri"/>
          <w:b/>
          <w:color w:val="AC182D"/>
          <w:sz w:val="24"/>
          <w:lang w:eastAsia="en-US"/>
        </w:rPr>
        <w:t>AMAÇ VE KAPSAM</w:t>
      </w:r>
    </w:p>
    <w:p w:rsidRPr="0062535F" w:rsidR="0062535F" w:rsidP="0062535F" w:rsidRDefault="0062535F">
      <w:pPr>
        <w:ind w:left="360"/>
        <w:contextualSpacing/>
        <w:rPr>
          <w:rFonts w:eastAsia="Calibri"/>
          <w:b/>
          <w:color w:val="AC182D"/>
          <w:sz w:val="24"/>
          <w:lang w:eastAsia="en-US"/>
        </w:rPr>
      </w:pPr>
    </w:p>
    <w:p w:rsidRPr="0062535F" w:rsidR="0062535F" w:rsidP="0062535F" w:rsidRDefault="0062535F">
      <w:pPr>
        <w:jc w:val="both"/>
        <w:rPr>
          <w:rFonts w:eastAsia="Times New Roman"/>
          <w:sz w:val="24"/>
          <w:szCs w:val="24"/>
        </w:rPr>
      </w:pPr>
      <w:r w:rsidRPr="0062535F">
        <w:rPr>
          <w:rFonts w:eastAsia="Times New Roman"/>
          <w:sz w:val="24"/>
          <w:szCs w:val="24"/>
        </w:rPr>
        <w:t>Bu talimatın amacı, Enstitümüzde yürütülen bütünleşik doktora programlarının eğitim, öğretim,  sınav ve mezuniyet süreçlerini açıklamaktır.</w:t>
      </w:r>
    </w:p>
    <w:p w:rsidRPr="0062535F" w:rsidR="0062535F" w:rsidP="0062535F" w:rsidRDefault="0062535F">
      <w:pPr>
        <w:jc w:val="both"/>
        <w:rPr>
          <w:rFonts w:eastAsia="Times New Roman"/>
          <w:sz w:val="24"/>
          <w:szCs w:val="24"/>
        </w:rPr>
      </w:pPr>
      <w:r w:rsidRPr="0062535F">
        <w:rPr>
          <w:rFonts w:eastAsia="Times New Roman"/>
          <w:sz w:val="24"/>
          <w:szCs w:val="24"/>
        </w:rPr>
        <w:t>Talimat, bütünleşik doktora eğitim-öğretim programlarına, sınavlara ve mezuniyete ilişkin hükümleri kapsar.</w:t>
      </w:r>
    </w:p>
    <w:p w:rsidRPr="0062535F" w:rsidR="0062535F" w:rsidP="0062535F" w:rsidRDefault="0062535F">
      <w:pPr>
        <w:rPr>
          <w:rFonts w:eastAsia="Times New Roman"/>
          <w:sz w:val="24"/>
          <w:szCs w:val="24"/>
        </w:rPr>
      </w:pPr>
    </w:p>
    <w:p w:rsidRPr="0062535F" w:rsidR="0062535F" w:rsidP="0062535F" w:rsidRDefault="0062535F">
      <w:pPr>
        <w:numPr>
          <w:ilvl w:val="0"/>
          <w:numId w:val="59"/>
        </w:numPr>
        <w:contextualSpacing/>
        <w:rPr>
          <w:rFonts w:eastAsia="Calibri"/>
          <w:b/>
          <w:color w:val="AC182D"/>
          <w:sz w:val="24"/>
          <w:lang w:eastAsia="en-US"/>
        </w:rPr>
      </w:pPr>
      <w:r w:rsidRPr="0062535F">
        <w:rPr>
          <w:rFonts w:eastAsia="Calibri"/>
          <w:b/>
          <w:color w:val="AC182D"/>
          <w:sz w:val="24"/>
          <w:lang w:eastAsia="en-US"/>
        </w:rPr>
        <w:t>DAYANAK</w:t>
      </w:r>
    </w:p>
    <w:p w:rsidRPr="0062535F" w:rsidR="0062535F" w:rsidP="0062535F" w:rsidRDefault="0062535F">
      <w:pPr>
        <w:ind w:left="360"/>
        <w:contextualSpacing/>
        <w:rPr>
          <w:rFonts w:eastAsia="Calibri"/>
          <w:b/>
          <w:color w:val="AC182D"/>
          <w:sz w:val="24"/>
          <w:lang w:eastAsia="en-US"/>
        </w:rPr>
      </w:pPr>
    </w:p>
    <w:p w:rsidRPr="0062535F" w:rsidR="0062535F" w:rsidP="0062535F" w:rsidRDefault="0062535F">
      <w:pPr>
        <w:jc w:val="both"/>
        <w:rPr>
          <w:rFonts w:eastAsia="Times New Roman"/>
          <w:sz w:val="24"/>
          <w:szCs w:val="24"/>
        </w:rPr>
      </w:pPr>
      <w:r w:rsidRPr="0062535F">
        <w:rPr>
          <w:rFonts w:eastAsia="Times New Roman"/>
          <w:sz w:val="24"/>
          <w:szCs w:val="24"/>
        </w:rPr>
        <w:t>Bu Talimat, 2547 Sayılı yükseköğretim kanunu, Lisansüstü Eğitim-Öğretim ve Sınav Yönetmeliği, İzmir Kâtip Çelebi Üniversitesi Lisansüstü Eğitim-Öğretim ve Sınav Yönetmeliği ve Fen Bilimleri Enstitüsü Lisansüstü Eğitim Öğretim ve Sınav Yönergesi’ ne dayanılarak hazırlanmıştır.</w:t>
      </w:r>
    </w:p>
    <w:p w:rsidRPr="0062535F" w:rsidR="0062535F" w:rsidP="0062535F" w:rsidRDefault="0062535F">
      <w:pPr>
        <w:rPr>
          <w:rFonts w:eastAsia="Times New Roman"/>
          <w:sz w:val="24"/>
          <w:szCs w:val="24"/>
        </w:rPr>
      </w:pPr>
    </w:p>
    <w:p w:rsidRPr="0062535F" w:rsidR="0062535F" w:rsidP="0062535F" w:rsidRDefault="0062535F">
      <w:pPr>
        <w:numPr>
          <w:ilvl w:val="0"/>
          <w:numId w:val="59"/>
        </w:numPr>
        <w:contextualSpacing/>
        <w:rPr>
          <w:rFonts w:eastAsia="Calibri"/>
          <w:sz w:val="24"/>
          <w:lang w:eastAsia="en-US"/>
        </w:rPr>
      </w:pPr>
      <w:r w:rsidRPr="0062535F">
        <w:rPr>
          <w:rFonts w:eastAsia="Calibri"/>
          <w:b/>
          <w:color w:val="AC182D"/>
          <w:sz w:val="24"/>
          <w:lang w:eastAsia="en-US"/>
        </w:rPr>
        <w:t>SORUMLULUK</w:t>
      </w:r>
    </w:p>
    <w:p w:rsidRPr="0062535F" w:rsidR="0062535F" w:rsidP="0062535F" w:rsidRDefault="0062535F">
      <w:pPr>
        <w:ind w:left="360"/>
        <w:contextualSpacing/>
        <w:rPr>
          <w:rFonts w:eastAsia="Calibri"/>
          <w:sz w:val="24"/>
          <w:lang w:eastAsia="en-US"/>
        </w:rPr>
      </w:pPr>
    </w:p>
    <w:p w:rsidRPr="0062535F" w:rsidR="0062535F" w:rsidP="0062535F" w:rsidRDefault="0062535F">
      <w:pPr>
        <w:jc w:val="both"/>
        <w:rPr>
          <w:rFonts w:eastAsia="Times New Roman"/>
          <w:sz w:val="24"/>
          <w:szCs w:val="24"/>
        </w:rPr>
      </w:pPr>
      <w:r w:rsidRPr="0062535F">
        <w:rPr>
          <w:rFonts w:eastAsia="Times New Roman"/>
          <w:sz w:val="24"/>
          <w:szCs w:val="24"/>
        </w:rPr>
        <w:t>Talimatın hazırlanması, revize edilmesi ve yenilenmesi sorumluluğu Fen Bilimleri Enstitüsü’ne aittir. Uygulanmasından ise; Enstitü çalışanları, doktora programı öğrencileri, ilgili öğrencilerin danışmanları ve Anabilim Dalı Tez Kontrol Ekipleri sorumludur.</w:t>
      </w:r>
    </w:p>
    <w:p w:rsidRPr="0062535F" w:rsidR="0062535F" w:rsidP="0062535F" w:rsidRDefault="0062535F">
      <w:pPr>
        <w:rPr>
          <w:rFonts w:eastAsia="Times New Roman"/>
          <w:sz w:val="24"/>
          <w:szCs w:val="24"/>
        </w:rPr>
      </w:pPr>
    </w:p>
    <w:p w:rsidRPr="0062535F" w:rsidR="0062535F" w:rsidP="0062535F" w:rsidRDefault="0062535F">
      <w:pPr>
        <w:numPr>
          <w:ilvl w:val="0"/>
          <w:numId w:val="59"/>
        </w:numPr>
        <w:contextualSpacing/>
        <w:rPr>
          <w:rFonts w:eastAsia="Calibri"/>
          <w:b/>
          <w:color w:val="AC182D"/>
          <w:sz w:val="24"/>
          <w:lang w:eastAsia="en-US"/>
        </w:rPr>
      </w:pPr>
      <w:r w:rsidRPr="0062535F">
        <w:rPr>
          <w:rFonts w:eastAsia="Calibri"/>
          <w:b/>
          <w:color w:val="AC182D"/>
          <w:sz w:val="24"/>
          <w:lang w:eastAsia="en-US"/>
        </w:rPr>
        <w:t>TANIMLAR VE KISALTMALAR</w:t>
      </w:r>
    </w:p>
    <w:p w:rsidRPr="0062535F" w:rsidR="0062535F" w:rsidP="0062535F" w:rsidRDefault="0062535F">
      <w:pPr>
        <w:ind w:left="360"/>
        <w:contextualSpacing/>
        <w:rPr>
          <w:rFonts w:eastAsia="Calibri"/>
          <w:b/>
          <w:color w:val="AC182D"/>
          <w:sz w:val="24"/>
          <w:lang w:eastAsia="en-US"/>
        </w:rPr>
      </w:pPr>
    </w:p>
    <w:p w:rsidRPr="0062535F" w:rsidR="0062535F" w:rsidP="0062535F" w:rsidRDefault="0062535F">
      <w:pPr>
        <w:jc w:val="both"/>
        <w:rPr>
          <w:rFonts w:eastAsia="Times New Roman"/>
          <w:sz w:val="24"/>
          <w:szCs w:val="24"/>
        </w:rPr>
      </w:pPr>
      <w:r w:rsidRPr="0062535F">
        <w:rPr>
          <w:rFonts w:eastAsia="Times New Roman"/>
          <w:sz w:val="24"/>
          <w:szCs w:val="24"/>
        </w:rPr>
        <w:t>Bu talimatta geçen;</w:t>
      </w:r>
    </w:p>
    <w:p w:rsidRPr="0062535F" w:rsidR="0062535F" w:rsidP="0062535F" w:rsidRDefault="0062535F">
      <w:pPr>
        <w:jc w:val="both"/>
        <w:rPr>
          <w:rFonts w:eastAsia="Times New Roman"/>
          <w:sz w:val="24"/>
          <w:szCs w:val="24"/>
        </w:rPr>
      </w:pPr>
    </w:p>
    <w:p w:rsidRPr="0062535F" w:rsidR="0062535F" w:rsidP="0062535F" w:rsidRDefault="0062535F">
      <w:pPr>
        <w:jc w:val="both"/>
        <w:rPr>
          <w:rFonts w:eastAsia="Times New Roman"/>
          <w:sz w:val="24"/>
          <w:szCs w:val="24"/>
        </w:rPr>
      </w:pPr>
      <w:r w:rsidRPr="0062535F">
        <w:rPr>
          <w:rFonts w:eastAsia="Times New Roman"/>
          <w:b/>
          <w:bCs/>
          <w:sz w:val="24"/>
          <w:szCs w:val="24"/>
        </w:rPr>
        <w:t>Avrupa Kredi Transfer Sistemi (AKTS):</w:t>
      </w:r>
      <w:r w:rsidRPr="0062535F">
        <w:rPr>
          <w:rFonts w:eastAsia="Times New Roman"/>
          <w:sz w:val="24"/>
          <w:szCs w:val="24"/>
        </w:rPr>
        <w:t xml:space="preserve"> Bir dersin hedeflenen öğrenim çıktılarını kazanmak amacıyla planlanan öğrenim etkinliklerini başarıyla tamamlamak için gereken zamanı temel alarak belirlenen ve iş yüküne dayanan kredisini, </w:t>
      </w:r>
    </w:p>
    <w:p w:rsidRPr="0062535F" w:rsidR="0062535F" w:rsidP="0062535F" w:rsidRDefault="0062535F">
      <w:pPr>
        <w:jc w:val="both"/>
        <w:rPr>
          <w:rFonts w:eastAsia="Times New Roman"/>
          <w:sz w:val="24"/>
          <w:szCs w:val="24"/>
        </w:rPr>
      </w:pPr>
      <w:r w:rsidRPr="0062535F">
        <w:rPr>
          <w:rFonts w:eastAsia="Times New Roman"/>
          <w:b/>
          <w:bCs/>
          <w:sz w:val="24"/>
          <w:szCs w:val="24"/>
        </w:rPr>
        <w:t>Danışman:</w:t>
      </w:r>
      <w:r w:rsidRPr="0062535F">
        <w:rPr>
          <w:rFonts w:eastAsia="Times New Roman"/>
          <w:sz w:val="24"/>
          <w:szCs w:val="24"/>
        </w:rPr>
        <w:t xml:space="preserve"> Enstitüde kayıtlı öğrenciye ders ve tez çalışması dönemlerinde rehberlik eden öğretim üyesini</w:t>
      </w:r>
      <w:r w:rsidRPr="0062535F">
        <w:rPr>
          <w:rFonts w:eastAsia="Times New Roman"/>
          <w:b/>
          <w:bCs/>
          <w:sz w:val="24"/>
          <w:szCs w:val="24"/>
        </w:rPr>
        <w:t>,</w:t>
      </w:r>
    </w:p>
    <w:p w:rsidRPr="0062535F" w:rsidR="0062535F" w:rsidP="0062535F" w:rsidRDefault="0062535F">
      <w:pPr>
        <w:jc w:val="both"/>
        <w:rPr>
          <w:rFonts w:eastAsia="Times New Roman"/>
          <w:sz w:val="24"/>
          <w:szCs w:val="24"/>
        </w:rPr>
      </w:pPr>
      <w:r w:rsidRPr="0062535F">
        <w:rPr>
          <w:rFonts w:eastAsia="Times New Roman"/>
          <w:b/>
          <w:bCs/>
          <w:sz w:val="24"/>
          <w:szCs w:val="24"/>
        </w:rPr>
        <w:t>Doktora Yeterlik Komitesi:</w:t>
      </w:r>
      <w:r w:rsidRPr="0062535F">
        <w:rPr>
          <w:rFonts w:eastAsia="Times New Roman"/>
          <w:sz w:val="24"/>
          <w:szCs w:val="24"/>
        </w:rPr>
        <w:t xml:space="preserve"> Enstitü Anabilim Dalı Başkanlığı tarafından önerilen ve Enstitü Yönetim Kurulu tarafından onaylanan, doktora yeterlik sınavlarını düzenleyen (yazılı ve sözlü sınava ait ders veya konuları belirler) ve yürüten beş kişilik komitedir. Bu komite; ilgili öğrencinin en az ikisi üniversite dışından olmak üzere, danışman dâhil beş öğretim üyesinden oluşan Doktora Yeterlik Jürisini de belirler.</w:t>
      </w:r>
    </w:p>
    <w:p w:rsidRPr="0062535F" w:rsidR="0062535F" w:rsidP="0062535F" w:rsidRDefault="0062535F">
      <w:pPr>
        <w:jc w:val="both"/>
        <w:rPr>
          <w:rFonts w:eastAsia="Times New Roman"/>
          <w:sz w:val="24"/>
          <w:szCs w:val="24"/>
        </w:rPr>
      </w:pPr>
      <w:r w:rsidRPr="0062535F">
        <w:rPr>
          <w:rFonts w:eastAsia="Times New Roman"/>
          <w:b/>
          <w:bCs/>
          <w:sz w:val="24"/>
          <w:szCs w:val="24"/>
        </w:rPr>
        <w:t>Enstitü:</w:t>
      </w:r>
      <w:r w:rsidRPr="0062535F">
        <w:rPr>
          <w:rFonts w:eastAsia="Times New Roman"/>
          <w:sz w:val="24"/>
          <w:szCs w:val="24"/>
        </w:rPr>
        <w:t xml:space="preserve"> Fen Bilimleri Enstitüsü’nü,</w:t>
      </w:r>
    </w:p>
    <w:p w:rsidRPr="0062535F" w:rsidR="0062535F" w:rsidP="0062535F" w:rsidRDefault="0062535F">
      <w:pPr>
        <w:jc w:val="both"/>
        <w:rPr>
          <w:rFonts w:eastAsia="Times New Roman"/>
          <w:sz w:val="24"/>
          <w:szCs w:val="24"/>
        </w:rPr>
      </w:pPr>
      <w:r w:rsidRPr="0062535F">
        <w:rPr>
          <w:rFonts w:eastAsia="Times New Roman"/>
          <w:b/>
          <w:bCs/>
          <w:sz w:val="24"/>
          <w:szCs w:val="24"/>
        </w:rPr>
        <w:t>Enstitü Yönetim Kurulu (EYK):</w:t>
      </w:r>
      <w:r w:rsidRPr="0062535F">
        <w:rPr>
          <w:rFonts w:eastAsia="Times New Roman"/>
          <w:sz w:val="24"/>
          <w:szCs w:val="24"/>
        </w:rPr>
        <w:t xml:space="preserve"> Fen Bilimleri Enstitü Yönetim Kurulu’nu,</w:t>
      </w:r>
    </w:p>
    <w:p w:rsidRPr="0062535F" w:rsidR="0062535F" w:rsidP="0062535F" w:rsidRDefault="0062535F">
      <w:pPr>
        <w:jc w:val="both"/>
        <w:rPr>
          <w:rFonts w:eastAsia="Times New Roman"/>
          <w:sz w:val="24"/>
          <w:szCs w:val="24"/>
        </w:rPr>
      </w:pPr>
      <w:r w:rsidRPr="0062535F">
        <w:rPr>
          <w:rFonts w:eastAsia="Times New Roman"/>
          <w:b/>
          <w:bCs/>
          <w:sz w:val="24"/>
          <w:szCs w:val="24"/>
        </w:rPr>
        <w:t xml:space="preserve">İntihal: </w:t>
      </w:r>
      <w:r w:rsidRPr="0062535F">
        <w:rPr>
          <w:rFonts w:eastAsia="Times New Roman"/>
          <w:sz w:val="24"/>
          <w:szCs w:val="24"/>
        </w:rPr>
        <w:t>Başkalarının fikirlerini, metotlarını, verilerini veya eserlerini bilimsel kurallara uygun biçimde atıf yapmadan kısmen veya tamamen kendi eseri gibi göstermeyi,</w:t>
      </w:r>
    </w:p>
    <w:p w:rsidRPr="0062535F" w:rsidR="0062535F" w:rsidP="0062535F" w:rsidRDefault="0062535F">
      <w:pPr>
        <w:jc w:val="both"/>
        <w:rPr>
          <w:rFonts w:eastAsia="Times New Roman"/>
          <w:sz w:val="24"/>
          <w:szCs w:val="24"/>
        </w:rPr>
      </w:pPr>
      <w:r w:rsidRPr="0062535F">
        <w:rPr>
          <w:rFonts w:eastAsia="Times New Roman"/>
          <w:b/>
          <w:bCs/>
          <w:sz w:val="24"/>
          <w:szCs w:val="24"/>
        </w:rPr>
        <w:t xml:space="preserve">Tez: </w:t>
      </w:r>
      <w:r w:rsidRPr="0062535F">
        <w:rPr>
          <w:rFonts w:eastAsia="Times New Roman"/>
          <w:sz w:val="24"/>
          <w:szCs w:val="24"/>
        </w:rPr>
        <w:t>Doktora eğitiminin amacına yönelik olarak hazırlanan bilimsel bir çalışmayı ve tez yazım kurallarına göre oluşturulmuş yazılı dokümanı,</w:t>
      </w:r>
    </w:p>
    <w:p w:rsidRPr="0062535F" w:rsidR="0062535F" w:rsidP="0062535F" w:rsidRDefault="0062535F">
      <w:pPr>
        <w:jc w:val="both"/>
        <w:rPr>
          <w:rFonts w:eastAsia="Times New Roman"/>
          <w:sz w:val="24"/>
          <w:szCs w:val="24"/>
        </w:rPr>
      </w:pPr>
      <w:r w:rsidRPr="0062535F">
        <w:rPr>
          <w:rFonts w:eastAsia="Times New Roman"/>
          <w:b/>
          <w:bCs/>
          <w:sz w:val="24"/>
          <w:szCs w:val="24"/>
        </w:rPr>
        <w:t xml:space="preserve">Tez İzleme Komitesi: </w:t>
      </w:r>
      <w:r w:rsidRPr="0062535F">
        <w:rPr>
          <w:rFonts w:eastAsia="Times New Roman"/>
          <w:sz w:val="24"/>
          <w:szCs w:val="24"/>
        </w:rPr>
        <w:t>İlgili öğrencinin tez danışmanı ile Enstitü Anabilim Dalı içinden ve dışından birer üyeden müteşekkil olmak üzere oluşturulan 3 kişilik komiteyi,</w:t>
      </w:r>
    </w:p>
    <w:p w:rsidRPr="0062535F" w:rsidR="0062535F" w:rsidP="0062535F" w:rsidRDefault="0062535F">
      <w:pPr>
        <w:jc w:val="both"/>
        <w:rPr>
          <w:rFonts w:eastAsia="Times New Roman"/>
          <w:sz w:val="24"/>
          <w:szCs w:val="24"/>
        </w:rPr>
      </w:pPr>
      <w:r w:rsidRPr="0062535F">
        <w:rPr>
          <w:rFonts w:eastAsia="Times New Roman"/>
          <w:b/>
          <w:bCs/>
          <w:sz w:val="24"/>
          <w:szCs w:val="24"/>
        </w:rPr>
        <w:t xml:space="preserve">Yabancı Dil Puanı: </w:t>
      </w:r>
      <w:r w:rsidRPr="0062535F">
        <w:rPr>
          <w:rFonts w:eastAsia="Times New Roman"/>
          <w:sz w:val="24"/>
          <w:szCs w:val="24"/>
        </w:rPr>
        <w:t>YÖK tarafından kabul edilen merkezî yabancı dil sınavları ile eşdeğerliği kabul edilen uluslararası yabancı dil sınavlarından alınan puanı,</w:t>
      </w:r>
    </w:p>
    <w:p w:rsidRPr="0062535F" w:rsidR="0062535F" w:rsidP="0062535F" w:rsidRDefault="0062535F">
      <w:pPr>
        <w:jc w:val="both"/>
        <w:rPr>
          <w:rFonts w:eastAsia="Times New Roman"/>
          <w:sz w:val="24"/>
          <w:szCs w:val="24"/>
        </w:rPr>
      </w:pPr>
      <w:r w:rsidRPr="0062535F">
        <w:rPr>
          <w:rFonts w:eastAsia="Times New Roman"/>
          <w:b/>
          <w:bCs/>
          <w:sz w:val="24"/>
          <w:szCs w:val="24"/>
        </w:rPr>
        <w:t>YÖK:</w:t>
      </w:r>
      <w:r w:rsidRPr="0062535F">
        <w:rPr>
          <w:rFonts w:eastAsia="Times New Roman"/>
          <w:sz w:val="24"/>
          <w:szCs w:val="24"/>
        </w:rPr>
        <w:t xml:space="preserve"> Yükseköğretim Kurulu Başkanlığını</w:t>
      </w:r>
    </w:p>
    <w:p w:rsidRPr="0062535F" w:rsidR="0062535F" w:rsidP="0062535F" w:rsidRDefault="0062535F">
      <w:pPr>
        <w:jc w:val="both"/>
        <w:rPr>
          <w:rFonts w:eastAsia="Times New Roman"/>
          <w:sz w:val="24"/>
          <w:szCs w:val="24"/>
        </w:rPr>
      </w:pPr>
    </w:p>
    <w:p w:rsidRPr="0062535F" w:rsidR="0062535F" w:rsidP="0062535F" w:rsidRDefault="0062535F">
      <w:pPr>
        <w:numPr>
          <w:ilvl w:val="0"/>
          <w:numId w:val="59"/>
        </w:numPr>
        <w:contextualSpacing/>
        <w:rPr>
          <w:rFonts w:eastAsia="Calibri"/>
          <w:b/>
          <w:color w:val="AC182D"/>
          <w:sz w:val="24"/>
          <w:lang w:eastAsia="en-US"/>
        </w:rPr>
      </w:pPr>
      <w:bookmarkStart w:name="_GoBack" w:id="0"/>
      <w:bookmarkEnd w:id="0"/>
      <w:r w:rsidRPr="0062535F">
        <w:rPr>
          <w:rFonts w:eastAsia="Calibri"/>
          <w:b/>
          <w:color w:val="AC182D"/>
          <w:sz w:val="24"/>
          <w:lang w:eastAsia="en-US"/>
        </w:rPr>
        <w:t>TALİMAT DETAYI</w:t>
      </w:r>
    </w:p>
    <w:p w:rsidRPr="0062535F" w:rsidR="0062535F" w:rsidP="0062535F" w:rsidRDefault="0062535F">
      <w:pPr>
        <w:ind w:left="360"/>
        <w:contextualSpacing/>
        <w:rPr>
          <w:rFonts w:eastAsia="Calibri"/>
          <w:b/>
          <w:color w:val="AC182D"/>
          <w:sz w:val="24"/>
          <w:lang w:eastAsia="en-US"/>
        </w:rPr>
      </w:pPr>
    </w:p>
    <w:p w:rsidRPr="0062535F" w:rsidR="0062535F" w:rsidP="0062535F" w:rsidRDefault="0062535F">
      <w:pPr>
        <w:rPr>
          <w:rFonts w:eastAsia="Times New Roman"/>
          <w:sz w:val="24"/>
          <w:szCs w:val="24"/>
        </w:rPr>
      </w:pPr>
      <w:r w:rsidRPr="0062535F">
        <w:rPr>
          <w:rFonts w:eastAsia="Times New Roman"/>
          <w:b/>
          <w:bCs/>
          <w:sz w:val="24"/>
          <w:szCs w:val="24"/>
        </w:rPr>
        <w:t>Ders Aşaması</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Öğrenci tez danışmanını (FR/FBE/08 no.lu form ile) en geç birinci yarıyılın sonuna kadar Enstitüye önerir.</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Öğrenci bütünleşik doktoraya kayıt yaptırdığı dönemden itibaren, her dönem Akademik Takvimde belirtilen kayıt tarihleri içinde UBS üzerinden ders kaydı yapar, kayıt danışman tarafından onaylanır. Öğrenci Akademik Takvimde belirtilen ilgili tarih aralığında ders ekle-çıkar işlemi (FR/FBE/01 no.lu form ile) yapabilir.</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Öğrenci, ders aşamasında FBE 502 Araştırma Metotları ve Etik dersi dâhil toplam on dört (14) ders ve iki Seminer dersi almalıdır. Seminerlerin sunumunu yapan öğrenci, her bir seminer için ilgili formu (FR/FBE/27) doldurarak Enstitüye teslim eder.</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Bilimsel araştırma teknikleri ile araştırma ve yayın etiği konularını içeren bir dersi lisansüstü programlardan daha önce almış olan öğrenciler tekraren almazlar, ancak devam ettikleri programın zorunlu ders sayısını alacakları diğer derslerle tamamlarlar.</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 xml:space="preserve">Öğrenci, diğer yükseköğretim kurumlarında verilmekte olan derslerden enstitü anabilim dalı başkanlığının önerisi ve enstitü yönetim kurulu onayı ile en fazla dört dersi seçebilir. (FR/FBE/02 no.lu form ile). Lisans dersleri ders yüküne ve doktora kredisine sayılmaz. </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 xml:space="preserve">Bir dersten geçme notu en az CB’dir. Seminer ve Uzmanlık Alanı derslerinde Geçti (G) veya Kaldı (K), tez çalışması ilgili dönemde başarılı seyretmesi halinde Olumlu (OL), tez başarı ile savunulduğunda Geçti (G) notu verilir. </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 xml:space="preserve">Öğrenciler başarısız oldukları dersleri açıldığı ilk yarıyılda öncelikle tekrarlamak zorundadırlar. Ancak, başarısız olunan dersin yerine danışmanın onayı ile başka bir ders alınabilir. Ayrıca, genel not ortalamalarını yükseltmek amacıyla başarılı oldukları dersleri tekrarlayabilir veya enstitü anabilim dalı başkanlığınca bu derslere eşdeğer kabul edilen dersleri alabilirler; bu durumda dersten en son alınan not geçerli olur. Seçmeli dersler için eşdeğerlik şartı aranmaz. </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Türkçe eğitim veren programlara kayıtlı olan öğrenciler 65 ve üstü İngilizce yabancı dil puanına sahip oldukları takdirde derslerini İngilizce eğitim dilinde alabilirler, tezlerini İngilizce yazabilirler.</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Bütünleşik doktora programının normal süresi on yarıyıl olup, program en çok on dört yarıyılda tamamlanır. Öğrenci altı yarıyıl sonunda öğretim planında yer alan kredili derslerini ve seminer derslerini başarıyla tamamlamalıdır. Tüm derslerini tamamlayamaması veya genel not ortalamasını en az 3,00 olarak sağlayamaması durumunda öğrencinin ilişiği kesilir. Onbirinci yarıyıldan itibaren öğrenciden katkı payı alınır.</w:t>
      </w:r>
    </w:p>
    <w:p w:rsidRPr="0062535F" w:rsidR="0062535F" w:rsidP="0062535F" w:rsidRDefault="0062535F">
      <w:pPr>
        <w:numPr>
          <w:ilvl w:val="0"/>
          <w:numId w:val="60"/>
        </w:numPr>
        <w:jc w:val="both"/>
        <w:rPr>
          <w:rFonts w:eastAsia="Times New Roman"/>
          <w:sz w:val="24"/>
          <w:szCs w:val="24"/>
        </w:rPr>
      </w:pPr>
      <w:r w:rsidRPr="0062535F">
        <w:rPr>
          <w:rFonts w:eastAsia="Times New Roman"/>
          <w:sz w:val="24"/>
          <w:szCs w:val="24"/>
        </w:rPr>
        <w:t xml:space="preserve">Öğrencilere, ilgili yönetim kurulunun uygun göreceği haklı ve geçerli nedenlerle bir defada en az bir, en çok iki yarıyıl ve öğrenim süresi boyunca toplam olarak en çok dört yarıyıl öğrenime ara verme izni verilebilir. Ancak rahatsızlığı ve tedavi sürecinin devam etmesi nedeniyle öğrenime ara verme talebinde bulunan öğrenciler ile hükümlü öğrenciler için mazereti ilgili yönetim kurulu tarafından değerlendirilerek azami öğretim süresinden sayılmadan dört yarıyıldan fazla öğrenime ara verme izni verilebilir. Öğrenci, kayıt dondurma talebini; ağır hastalık, kaza, doğal afetler gibi belgelendirilebilen olağanüstü durumlar dışında yarıyılın ilk iki haftası içinde FR/ FBE /28 no.lu form ile Enstitüye iletir. İzinli olunan dönem öğrenim süresinden sayılmaz. </w:t>
      </w:r>
    </w:p>
    <w:p w:rsidRPr="0062535F" w:rsidR="0062535F" w:rsidP="0062535F" w:rsidRDefault="0062535F">
      <w:pPr>
        <w:jc w:val="both"/>
        <w:rPr>
          <w:rFonts w:eastAsia="Times New Roman"/>
          <w:b/>
          <w:bCs/>
          <w:color w:val="FF0000"/>
          <w:sz w:val="24"/>
          <w:szCs w:val="24"/>
        </w:rPr>
      </w:pPr>
    </w:p>
    <w:p w:rsidRPr="0062535F" w:rsidR="0062535F" w:rsidP="0062535F" w:rsidRDefault="0062535F">
      <w:pPr>
        <w:jc w:val="both"/>
        <w:rPr>
          <w:rFonts w:eastAsia="Times New Roman"/>
          <w:sz w:val="24"/>
          <w:szCs w:val="24"/>
        </w:rPr>
      </w:pPr>
      <w:r w:rsidRPr="0062535F">
        <w:rPr>
          <w:rFonts w:eastAsia="Times New Roman"/>
          <w:b/>
          <w:bCs/>
          <w:sz w:val="24"/>
          <w:szCs w:val="24"/>
        </w:rPr>
        <w:lastRenderedPageBreak/>
        <w:t>Yeterlik Sınavı</w:t>
      </w:r>
    </w:p>
    <w:p w:rsidRPr="0062535F" w:rsidR="0062535F" w:rsidP="0062535F" w:rsidRDefault="0062535F">
      <w:pPr>
        <w:numPr>
          <w:ilvl w:val="0"/>
          <w:numId w:val="61"/>
        </w:numPr>
        <w:jc w:val="both"/>
        <w:rPr>
          <w:rFonts w:eastAsia="Times New Roman"/>
          <w:sz w:val="24"/>
          <w:szCs w:val="24"/>
        </w:rPr>
      </w:pPr>
      <w:r w:rsidRPr="0062535F">
        <w:rPr>
          <w:rFonts w:eastAsia="Times New Roman"/>
          <w:sz w:val="24"/>
          <w:szCs w:val="24"/>
        </w:rPr>
        <w:t>Öğrenci bütünleşik doktora programı için gerekli olan en az on dört ders ve iki seminer dersini tamamladığı takdirde doktora yeterlik sınavı aşamasına gelir. Öğrencinin en geç yedinci yarıyılın sonuna kadar yeterlik sınavına girmesi gerekir. Doktora yeterlik sınavları yılda iki kez (Mayıs ve Aralık aylarında) yapılır. Sınava girmesi gerektiği halde başvuru yapmayan veya başvuru yapıp sınava girmeyen öğrenciler yeterlik sınavından başarısız sayılır.</w:t>
      </w:r>
    </w:p>
    <w:p w:rsidRPr="0062535F" w:rsidR="0062535F" w:rsidP="0062535F" w:rsidRDefault="0062535F">
      <w:pPr>
        <w:numPr>
          <w:ilvl w:val="0"/>
          <w:numId w:val="61"/>
        </w:numPr>
        <w:jc w:val="both"/>
        <w:rPr>
          <w:rFonts w:eastAsia="Times New Roman"/>
          <w:sz w:val="24"/>
          <w:szCs w:val="24"/>
        </w:rPr>
      </w:pPr>
      <w:r w:rsidRPr="0062535F">
        <w:rPr>
          <w:rFonts w:eastAsia="Times New Roman"/>
          <w:sz w:val="24"/>
          <w:szCs w:val="24"/>
        </w:rPr>
        <w:t>Güz yarıyılı (Aralık ayı) yeterlik sınavına girecek olan öğrencilerin sınava girme taleplerine ilişkin formu (FR/ FBE /19) 01 Ekim – 01 Kasım tarihleri arasında, Bahar yarıyılı (Mayıs ayı) yeterlik sınavına girecek olan öğrencilerin ise 01 Mart – 01 Nisan tarihleri arasında Enstitüye teslim etmeleri gerekir.</w:t>
      </w:r>
    </w:p>
    <w:p w:rsidRPr="0062535F" w:rsidR="0062535F" w:rsidP="0062535F" w:rsidRDefault="0062535F">
      <w:pPr>
        <w:numPr>
          <w:ilvl w:val="0"/>
          <w:numId w:val="61"/>
        </w:numPr>
        <w:jc w:val="both"/>
        <w:rPr>
          <w:rFonts w:eastAsia="Times New Roman"/>
          <w:sz w:val="24"/>
          <w:szCs w:val="24"/>
        </w:rPr>
      </w:pPr>
      <w:r w:rsidRPr="0062535F">
        <w:rPr>
          <w:rFonts w:eastAsia="Times New Roman"/>
          <w:sz w:val="24"/>
          <w:szCs w:val="24"/>
        </w:rPr>
        <w:t>Doktora Yeterlik Komitesi, ilgili öğrencinin en az ikisi üniversite dışından olmak üzere, danışman dâhil beş öğretim üyesinden oluşan Doktora Yeterlik Jürisini belirler.</w:t>
      </w:r>
    </w:p>
    <w:p w:rsidRPr="0062535F" w:rsidR="0062535F" w:rsidP="0062535F" w:rsidRDefault="0062535F">
      <w:pPr>
        <w:numPr>
          <w:ilvl w:val="0"/>
          <w:numId w:val="61"/>
        </w:numPr>
        <w:jc w:val="both"/>
        <w:rPr>
          <w:rFonts w:eastAsia="Times New Roman"/>
          <w:sz w:val="24"/>
          <w:szCs w:val="24"/>
        </w:rPr>
      </w:pPr>
      <w:r w:rsidRPr="0062535F">
        <w:rPr>
          <w:rFonts w:eastAsia="Times New Roman"/>
          <w:sz w:val="24"/>
          <w:szCs w:val="24"/>
        </w:rPr>
        <w:t>Doktora yeterlik sınavı, yazılı ve sözlü olarak iki bölüm halinde yapılır. Yazılı sınavda başarılı olan öğrenci sözlü sınava alınır. Yeterlik yazılı sınavının tüm sınav içindeki ağırlığı %50, yeterlik sözlü sınavının tüm sınav içindeki ağırlığı %50’dir. Yazılı ve sözlü sınava ait 5 adet ders veya konu ilgili Anabilim Dalı Yeterlik Komitesi tarafından (FR/ FBE /18 no.lu form ile) belirlenir.  Yazılı ve sözlü sınav aşamalarında her bir jüri üyesi, öğrencinin başarı notunu 100 üzerinden değerlendirir. Başarı notu 75 puan ve üzeridir. Sınav jürisi öğrencinin nihai başarı durumuna, jürideki her bir öğretim üyesinin verdiği notları ayrı ayrı dikkate alarak, salt çoğunlukla karar verir. Bu karar, Enstitü Anabilim Dalı başkanlığınca yeterlik sınavını izleyen üç iş günü içinde tutanakla (FR/ FBE /20) Enstitüye bildirilir.</w:t>
      </w:r>
    </w:p>
    <w:p w:rsidRPr="0062535F" w:rsidR="0062535F" w:rsidP="0062535F" w:rsidRDefault="0062535F">
      <w:pPr>
        <w:numPr>
          <w:ilvl w:val="0"/>
          <w:numId w:val="61"/>
        </w:numPr>
        <w:jc w:val="both"/>
        <w:rPr>
          <w:rFonts w:eastAsia="Times New Roman"/>
          <w:sz w:val="24"/>
          <w:szCs w:val="24"/>
        </w:rPr>
      </w:pPr>
      <w:r w:rsidRPr="0062535F">
        <w:rPr>
          <w:rFonts w:eastAsia="Times New Roman"/>
          <w:sz w:val="24"/>
          <w:szCs w:val="24"/>
        </w:rPr>
        <w:t>Yeterlik sınavı jürisi, yeterlik sınavını başaran bir öğrencinin, ders yükünü tamamlamış olsa bile, toplam kredi miktarının üçte birini geçmemek şartıyla fazladan ders/dersler almasını isteyebilir. Öğrenci, Enstitü kararıyla belirlenecek olan bu dersleri başarmak zorundadır.</w:t>
      </w:r>
    </w:p>
    <w:p w:rsidRPr="0062535F" w:rsidR="0062535F" w:rsidP="0062535F" w:rsidRDefault="0062535F">
      <w:pPr>
        <w:numPr>
          <w:ilvl w:val="0"/>
          <w:numId w:val="61"/>
        </w:numPr>
        <w:jc w:val="both"/>
        <w:rPr>
          <w:rFonts w:eastAsia="Times New Roman"/>
          <w:sz w:val="24"/>
          <w:szCs w:val="24"/>
        </w:rPr>
      </w:pPr>
      <w:r w:rsidRPr="0062535F">
        <w:rPr>
          <w:rFonts w:eastAsia="Times New Roman"/>
          <w:sz w:val="24"/>
          <w:szCs w:val="24"/>
        </w:rPr>
        <w:t xml:space="preserve">Yeterlik sınavında başarısız olan öğrenci başarısız olduğu bölüm/bölümlerden bir sonraki yarıyılda tekrar sınava alınır. Bu sınavda da başarısız olan öğrencinin bütünleşik doktora programı ile ilişiği kesilir. </w:t>
      </w:r>
    </w:p>
    <w:p w:rsidRPr="0062535F" w:rsidR="0062535F" w:rsidP="0062535F" w:rsidRDefault="0062535F">
      <w:pPr>
        <w:jc w:val="both"/>
        <w:rPr>
          <w:rFonts w:eastAsia="Times New Roman"/>
          <w:b/>
          <w:bCs/>
          <w:color w:val="FF0000"/>
          <w:sz w:val="24"/>
          <w:szCs w:val="24"/>
        </w:rPr>
      </w:pPr>
    </w:p>
    <w:p w:rsidRPr="0062535F" w:rsidR="0062535F" w:rsidP="0062535F" w:rsidRDefault="0062535F">
      <w:pPr>
        <w:jc w:val="both"/>
        <w:rPr>
          <w:rFonts w:eastAsia="Times New Roman"/>
          <w:sz w:val="24"/>
          <w:szCs w:val="24"/>
        </w:rPr>
      </w:pPr>
      <w:r w:rsidRPr="0062535F">
        <w:rPr>
          <w:rFonts w:eastAsia="Times New Roman"/>
          <w:b/>
          <w:bCs/>
          <w:sz w:val="24"/>
          <w:szCs w:val="24"/>
        </w:rPr>
        <w:t>Tez Önerisi Savunması</w:t>
      </w:r>
    </w:p>
    <w:p w:rsidRPr="0062535F" w:rsidR="0062535F" w:rsidP="0062535F" w:rsidRDefault="0062535F">
      <w:pPr>
        <w:numPr>
          <w:ilvl w:val="0"/>
          <w:numId w:val="62"/>
        </w:numPr>
        <w:jc w:val="both"/>
        <w:rPr>
          <w:rFonts w:eastAsia="Times New Roman"/>
          <w:sz w:val="24"/>
          <w:szCs w:val="24"/>
        </w:rPr>
      </w:pPr>
      <w:r w:rsidRPr="0062535F">
        <w:rPr>
          <w:rFonts w:eastAsia="Times New Roman"/>
          <w:sz w:val="24"/>
          <w:szCs w:val="24"/>
        </w:rPr>
        <w:t>Doktora yeterlik sınavını başarı ile tamamlayan öğrenci için danışmanın önerisi, Anabilim Dalı başkanının uygun görüşü ve Enstitü Yönetim Kurulu Kararı ile (FR/ FBE /21) Tez İzleme Komitesi (TİK) oluşturulur. Tez İzleme Komitesi oluşturulduktan sonra Doktora Tez Önerisi Savunma Sınavı Başvuru Formu (FR/ FBE /22) ile Enstitü Yönetim Kurulu kararı alınarak tarih belirlenir.</w:t>
      </w:r>
    </w:p>
    <w:p w:rsidRPr="0062535F" w:rsidR="0062535F" w:rsidP="0062535F" w:rsidRDefault="0062535F">
      <w:pPr>
        <w:numPr>
          <w:ilvl w:val="0"/>
          <w:numId w:val="62"/>
        </w:numPr>
        <w:jc w:val="both"/>
        <w:rPr>
          <w:rFonts w:eastAsia="Times New Roman"/>
          <w:sz w:val="24"/>
          <w:szCs w:val="24"/>
        </w:rPr>
      </w:pPr>
      <w:r w:rsidRPr="0062535F">
        <w:rPr>
          <w:rFonts w:eastAsia="Times New Roman"/>
          <w:sz w:val="24"/>
          <w:szCs w:val="24"/>
        </w:rPr>
        <w:t>Öğrenci Doktora yeterlik Sınavından sonra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w:t>
      </w:r>
    </w:p>
    <w:p w:rsidRPr="0062535F" w:rsidR="0062535F" w:rsidP="0062535F" w:rsidRDefault="0062535F">
      <w:pPr>
        <w:numPr>
          <w:ilvl w:val="0"/>
          <w:numId w:val="62"/>
        </w:numPr>
        <w:jc w:val="both"/>
        <w:rPr>
          <w:rFonts w:eastAsia="Times New Roman"/>
          <w:sz w:val="24"/>
          <w:szCs w:val="24"/>
        </w:rPr>
      </w:pPr>
      <w:r w:rsidRPr="0062535F">
        <w:rPr>
          <w:rFonts w:eastAsia="Times New Roman"/>
          <w:sz w:val="24"/>
          <w:szCs w:val="24"/>
        </w:rPr>
        <w:t>Tez İzleme Komitesi, öğrencinin sunduğu tez önerisinin kabul, düzeltme veya reddedileceğine salt çoğunlukla karar verir. Düzeltme için bir ay süre verilir. Sonuç 3 gün içinde Enstitüye bildirilir. (FR/ FBE /23 no.lu form ile)</w:t>
      </w:r>
    </w:p>
    <w:p w:rsidRPr="0062535F" w:rsidR="0062535F" w:rsidP="0062535F" w:rsidRDefault="0062535F">
      <w:pPr>
        <w:numPr>
          <w:ilvl w:val="0"/>
          <w:numId w:val="62"/>
        </w:numPr>
        <w:jc w:val="both"/>
        <w:rPr>
          <w:rFonts w:eastAsia="Times New Roman"/>
          <w:sz w:val="24"/>
          <w:szCs w:val="24"/>
        </w:rPr>
      </w:pPr>
      <w:r w:rsidRPr="0062535F">
        <w:rPr>
          <w:rFonts w:eastAsia="Times New Roman"/>
          <w:sz w:val="24"/>
          <w:szCs w:val="24"/>
        </w:rPr>
        <w:t xml:space="preserve">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w:t>
      </w:r>
      <w:r w:rsidRPr="0062535F">
        <w:rPr>
          <w:rFonts w:eastAsia="Times New Roman"/>
          <w:sz w:val="24"/>
          <w:szCs w:val="24"/>
        </w:rPr>
        <w:lastRenderedPageBreak/>
        <w:t xml:space="preserve">savunmasına alınır. Tez önerisi bu savunmada da reddedilen öğrencinin yükseköğretim kurumu ile ilişiği kesilir. Tez önerisi savunmasına geçerli bir mazereti olmaksızın belirtilen sürede girmeyen öğrenci başarısız sayılarak tez önerisi reddedilir. </w:t>
      </w:r>
    </w:p>
    <w:p w:rsidRPr="0062535F" w:rsidR="0062535F" w:rsidP="0062535F" w:rsidRDefault="0062535F">
      <w:pPr>
        <w:ind w:left="720"/>
        <w:jc w:val="both"/>
        <w:rPr>
          <w:rFonts w:eastAsia="Times New Roman"/>
          <w:sz w:val="24"/>
          <w:szCs w:val="24"/>
        </w:rPr>
      </w:pPr>
    </w:p>
    <w:p w:rsidRPr="0062535F" w:rsidR="0062535F" w:rsidP="0062535F" w:rsidRDefault="0062535F">
      <w:pPr>
        <w:jc w:val="both"/>
        <w:rPr>
          <w:rFonts w:eastAsia="Times New Roman"/>
          <w:b/>
          <w:bCs/>
          <w:color w:val="FF0000"/>
          <w:sz w:val="24"/>
          <w:szCs w:val="24"/>
        </w:rPr>
      </w:pPr>
    </w:p>
    <w:p w:rsidRPr="0062535F" w:rsidR="0062535F" w:rsidP="0062535F" w:rsidRDefault="0062535F">
      <w:pPr>
        <w:jc w:val="both"/>
        <w:rPr>
          <w:rFonts w:eastAsia="Times New Roman"/>
          <w:b/>
          <w:bCs/>
          <w:color w:val="FF0000"/>
          <w:sz w:val="24"/>
          <w:szCs w:val="24"/>
        </w:rPr>
      </w:pPr>
    </w:p>
    <w:p w:rsidRPr="0062535F" w:rsidR="0062535F" w:rsidP="0062535F" w:rsidRDefault="0062535F">
      <w:pPr>
        <w:jc w:val="both"/>
        <w:rPr>
          <w:rFonts w:eastAsia="Times New Roman"/>
          <w:sz w:val="24"/>
          <w:szCs w:val="24"/>
        </w:rPr>
      </w:pPr>
      <w:r w:rsidRPr="0062535F">
        <w:rPr>
          <w:rFonts w:eastAsia="Times New Roman"/>
          <w:b/>
          <w:bCs/>
          <w:sz w:val="24"/>
          <w:szCs w:val="24"/>
        </w:rPr>
        <w:t>Tez İzleme Toplantıları</w:t>
      </w:r>
    </w:p>
    <w:p w:rsidRPr="0062535F" w:rsidR="0062535F" w:rsidP="0062535F" w:rsidRDefault="0062535F">
      <w:pPr>
        <w:numPr>
          <w:ilvl w:val="0"/>
          <w:numId w:val="63"/>
        </w:numPr>
        <w:jc w:val="both"/>
        <w:rPr>
          <w:rFonts w:eastAsia="Times New Roman"/>
          <w:sz w:val="24"/>
          <w:szCs w:val="24"/>
        </w:rPr>
      </w:pPr>
      <w:r w:rsidRPr="0062535F">
        <w:rPr>
          <w:rFonts w:eastAsia="Times New Roman"/>
          <w:color w:val="000000"/>
          <w:sz w:val="24"/>
          <w:szCs w:val="24"/>
        </w:rPr>
        <w:t>Tez önerisi kabul edilen öğrenci için Tez İzleme Komitesi, Ocak-Haziran ve Temmuz-Aralık ayları arasında birer defa olmak üzere yılda en az iki kez toplanır.</w:t>
      </w:r>
      <w:r w:rsidRPr="0062535F">
        <w:rPr>
          <w:rFonts w:eastAsia="Times New Roman"/>
          <w:sz w:val="24"/>
          <w:szCs w:val="24"/>
        </w:rPr>
        <w:t xml:space="preserve"> Her toplantı sonrasında 3 gün içerisinde Doktora Tez İzleme Komitesi Tutanağı Formu (FR/ FBE /25) Enstitüye teslim edilir.</w:t>
      </w:r>
    </w:p>
    <w:p w:rsidRPr="0062535F" w:rsidR="0062535F" w:rsidP="0062535F" w:rsidRDefault="0062535F">
      <w:pPr>
        <w:numPr>
          <w:ilvl w:val="0"/>
          <w:numId w:val="63"/>
        </w:numPr>
        <w:jc w:val="both"/>
        <w:rPr>
          <w:rFonts w:eastAsia="Times New Roman"/>
          <w:sz w:val="24"/>
          <w:szCs w:val="24"/>
        </w:rPr>
      </w:pPr>
      <w:r w:rsidRPr="0062535F">
        <w:rPr>
          <w:rFonts w:eastAsia="Times New Roman"/>
          <w:color w:val="000000"/>
          <w:sz w:val="24"/>
          <w:szCs w:val="24"/>
        </w:rPr>
        <w:t>Öğrenci, toplantı tarihinden en az bir ay önce komite üyelerine yazılı bir rapor sunar. Öğrencinin tez çalışması, komite tarafından başarılı veya başarısız olarak salt çoğunlukla belirlenir.</w:t>
      </w:r>
    </w:p>
    <w:p w:rsidRPr="0062535F" w:rsidR="0062535F" w:rsidP="0062535F" w:rsidRDefault="0062535F">
      <w:pPr>
        <w:numPr>
          <w:ilvl w:val="0"/>
          <w:numId w:val="63"/>
        </w:numPr>
        <w:jc w:val="both"/>
        <w:rPr>
          <w:rFonts w:eastAsia="Times New Roman"/>
          <w:sz w:val="24"/>
          <w:szCs w:val="24"/>
        </w:rPr>
      </w:pPr>
      <w:r w:rsidRPr="0062535F">
        <w:rPr>
          <w:rFonts w:eastAsia="Times New Roman"/>
          <w:color w:val="000000"/>
          <w:sz w:val="24"/>
          <w:szCs w:val="24"/>
        </w:rPr>
        <w:t xml:space="preserve">Öğrencinin tezinin sonuçlanabilmesi için en az üç Tez İzleme Komitesi toplantısı yapılması ve tutanağının </w:t>
      </w:r>
      <w:r w:rsidRPr="0062535F">
        <w:rPr>
          <w:rFonts w:eastAsia="Times New Roman"/>
          <w:sz w:val="24"/>
          <w:szCs w:val="24"/>
        </w:rPr>
        <w:t xml:space="preserve">(FR/ FBE /25) </w:t>
      </w:r>
      <w:r w:rsidRPr="0062535F">
        <w:rPr>
          <w:rFonts w:eastAsia="Times New Roman"/>
          <w:color w:val="000000"/>
          <w:sz w:val="24"/>
          <w:szCs w:val="24"/>
        </w:rPr>
        <w:t>sunulması gerekir.</w:t>
      </w:r>
    </w:p>
    <w:p w:rsidRPr="0062535F" w:rsidR="0062535F" w:rsidP="0062535F" w:rsidRDefault="0062535F">
      <w:pPr>
        <w:numPr>
          <w:ilvl w:val="0"/>
          <w:numId w:val="63"/>
        </w:numPr>
        <w:jc w:val="both"/>
        <w:rPr>
          <w:rFonts w:eastAsia="Times New Roman"/>
          <w:sz w:val="24"/>
          <w:szCs w:val="24"/>
        </w:rPr>
      </w:pPr>
      <w:r w:rsidRPr="0062535F">
        <w:rPr>
          <w:rFonts w:eastAsia="Times New Roman"/>
          <w:color w:val="000000"/>
          <w:sz w:val="24"/>
          <w:szCs w:val="24"/>
        </w:rPr>
        <w:t xml:space="preserve">Tez İzleme Komitesi toplantısı belirtilen 6 aylık süre içerisinde yapılmayan öğrenci o dönem başarısız sayılır. Komite tarafından üst üste iki kez veya aralıklı olarak üç kez başarısız bulunan öğrencinin Üniversite ile ilişiği kesilir. </w:t>
      </w:r>
    </w:p>
    <w:p w:rsidRPr="0062535F" w:rsidR="0062535F" w:rsidP="0062535F" w:rsidRDefault="0062535F">
      <w:pPr>
        <w:jc w:val="both"/>
        <w:rPr>
          <w:rFonts w:eastAsia="Times New Roman"/>
          <w:b/>
          <w:bCs/>
          <w:color w:val="FF0000"/>
          <w:sz w:val="24"/>
          <w:szCs w:val="24"/>
        </w:rPr>
      </w:pPr>
    </w:p>
    <w:p w:rsidRPr="0062535F" w:rsidR="0062535F" w:rsidP="0062535F" w:rsidRDefault="0062535F">
      <w:pPr>
        <w:jc w:val="both"/>
        <w:rPr>
          <w:rFonts w:eastAsia="Times New Roman"/>
          <w:sz w:val="24"/>
          <w:szCs w:val="24"/>
        </w:rPr>
      </w:pPr>
      <w:r w:rsidRPr="0062535F">
        <w:rPr>
          <w:rFonts w:eastAsia="Times New Roman"/>
          <w:b/>
          <w:bCs/>
          <w:sz w:val="24"/>
          <w:szCs w:val="24"/>
        </w:rPr>
        <w:t>Tez Savunma Hazırlığı</w:t>
      </w:r>
    </w:p>
    <w:p w:rsidRPr="0062535F" w:rsidR="0062535F" w:rsidP="0062535F" w:rsidRDefault="0062535F">
      <w:pPr>
        <w:numPr>
          <w:ilvl w:val="0"/>
          <w:numId w:val="64"/>
        </w:numPr>
        <w:jc w:val="both"/>
        <w:rPr>
          <w:rFonts w:eastAsia="Times New Roman"/>
          <w:sz w:val="24"/>
          <w:szCs w:val="24"/>
        </w:rPr>
      </w:pPr>
      <w:r w:rsidRPr="0062535F">
        <w:rPr>
          <w:rFonts w:eastAsia="Times New Roman"/>
          <w:sz w:val="24"/>
          <w:szCs w:val="24"/>
        </w:rPr>
        <w:t>Bütünleşik doktora tez savunma sınavından önce ve düzeltme verilen tezlerde ise düzeltme ile birlikte, öğrenci tezini tamamlayarak danışmanına sunar.</w:t>
      </w:r>
    </w:p>
    <w:p w:rsidRPr="0062535F" w:rsidR="0062535F" w:rsidP="0062535F" w:rsidRDefault="0062535F">
      <w:pPr>
        <w:numPr>
          <w:ilvl w:val="0"/>
          <w:numId w:val="64"/>
        </w:numPr>
        <w:jc w:val="both"/>
        <w:rPr>
          <w:rFonts w:eastAsia="Times New Roman"/>
          <w:sz w:val="24"/>
          <w:szCs w:val="24"/>
        </w:rPr>
      </w:pPr>
      <w:r w:rsidRPr="0062535F">
        <w:rPr>
          <w:rFonts w:eastAsia="Times New Roman"/>
          <w:sz w:val="24"/>
          <w:szCs w:val="24"/>
        </w:rPr>
        <w:t>Danışman, tezi savunulabilir olarak değerlendirdiği takdirde, tez Anabilim Dalı Tez Kontrol Ekibi tarafından kontrol edilir.</w:t>
      </w:r>
    </w:p>
    <w:p w:rsidRPr="0062535F" w:rsidR="0062535F" w:rsidP="0062535F" w:rsidRDefault="0062535F">
      <w:pPr>
        <w:numPr>
          <w:ilvl w:val="0"/>
          <w:numId w:val="64"/>
        </w:numPr>
        <w:jc w:val="both"/>
        <w:rPr>
          <w:rFonts w:eastAsia="Times New Roman"/>
          <w:sz w:val="24"/>
          <w:szCs w:val="24"/>
        </w:rPr>
      </w:pPr>
      <w:r w:rsidRPr="0062535F">
        <w:rPr>
          <w:rFonts w:eastAsia="Times New Roman"/>
          <w:sz w:val="24"/>
          <w:szCs w:val="24"/>
        </w:rPr>
        <w:t xml:space="preserve">Danışman, Tez Teslim Formunu (FR/ FBE /13), teze ilişkin intihal yazılım programı raporunu, Tez Benzerlik Raporu Formunu (FR/ FBE /14), Tez Sınavı Jüri ve Tarih Öneri Formunu (FR/FBE/15) ve elektronik ortamda tezini, teklif edilen savunma sınavı tarihinden en az üç hafta önce Enstitüye teslim eder. Doktora tez savunma sınavının ne zaman yapılacağı danışmanın önerisi gözetilerek Enstitü Yönetim Kurulunca belirlenir ve doktora tez jüri üyelerine yazılı olarak bildirilir. </w:t>
      </w:r>
    </w:p>
    <w:p w:rsidRPr="0062535F" w:rsidR="0062535F" w:rsidP="0062535F" w:rsidRDefault="0062535F">
      <w:pPr>
        <w:numPr>
          <w:ilvl w:val="0"/>
          <w:numId w:val="64"/>
        </w:numPr>
        <w:jc w:val="both"/>
        <w:rPr>
          <w:rFonts w:eastAsia="Times New Roman"/>
          <w:sz w:val="24"/>
          <w:szCs w:val="24"/>
        </w:rPr>
      </w:pPr>
      <w:r w:rsidRPr="0062535F">
        <w:rPr>
          <w:rFonts w:eastAsia="Times New Roman"/>
          <w:sz w:val="24"/>
          <w:szCs w:val="24"/>
        </w:rPr>
        <w:t>Tez ve intihal yazılım programı raporu, Enstitü Yönetim Kurulu tarafından onaylanan sınav tarihinden en az 2 hafta önce öğrenci tarafından jüri üyelerine teslim edilmelidir. Jüri üyelerinin Tez Bireysel Değerlendirme Raporu Formu’nu (FR/ FBE /16) tez savunmasından önce doldurmaları gerekmektedir.</w:t>
      </w:r>
    </w:p>
    <w:p w:rsidRPr="0062535F" w:rsidR="0062535F" w:rsidP="0062535F" w:rsidRDefault="0062535F">
      <w:pPr>
        <w:numPr>
          <w:ilvl w:val="0"/>
          <w:numId w:val="64"/>
        </w:numPr>
        <w:jc w:val="both"/>
        <w:rPr>
          <w:rFonts w:eastAsia="Times New Roman"/>
          <w:sz w:val="24"/>
          <w:szCs w:val="24"/>
        </w:rPr>
      </w:pPr>
      <w:r w:rsidRPr="0062535F">
        <w:rPr>
          <w:rFonts w:eastAsia="Times New Roman"/>
          <w:sz w:val="24"/>
          <w:szCs w:val="24"/>
        </w:rPr>
        <w:t xml:space="preserve">Jüri, üçü öğrencinin tez izleme komitesinde yer alan öğretim üyeleri ve en az ikisi üniversite dışından olmak üzere danışman dâhil beş öğretim üyesinden oluşur. Ayrıca ikinci tez danışmanı oy hakkı olmaksızın jüride yer alabilir. Ayrıca iki yedek jüri üyesi (biri başka üniversiteden olmak üzere) belirlenir. </w:t>
      </w:r>
    </w:p>
    <w:p w:rsidRPr="0062535F" w:rsidR="0062535F" w:rsidP="0062535F" w:rsidRDefault="0062535F">
      <w:pPr>
        <w:jc w:val="both"/>
        <w:rPr>
          <w:rFonts w:eastAsia="Times New Roman"/>
          <w:b/>
          <w:bCs/>
          <w:color w:val="FF0000"/>
          <w:sz w:val="24"/>
          <w:szCs w:val="24"/>
        </w:rPr>
      </w:pPr>
    </w:p>
    <w:p w:rsidRPr="0062535F" w:rsidR="0062535F" w:rsidP="0062535F" w:rsidRDefault="0062535F">
      <w:pPr>
        <w:jc w:val="both"/>
        <w:rPr>
          <w:rFonts w:eastAsia="Times New Roman"/>
          <w:sz w:val="24"/>
          <w:szCs w:val="24"/>
        </w:rPr>
      </w:pPr>
      <w:r w:rsidRPr="0062535F">
        <w:rPr>
          <w:rFonts w:eastAsia="Times New Roman"/>
          <w:b/>
          <w:bCs/>
          <w:sz w:val="24"/>
          <w:szCs w:val="24"/>
        </w:rPr>
        <w:t>Tez Savunması</w:t>
      </w:r>
    </w:p>
    <w:p w:rsidRPr="0062535F" w:rsidR="0062535F" w:rsidP="0062535F" w:rsidRDefault="0062535F">
      <w:pPr>
        <w:numPr>
          <w:ilvl w:val="0"/>
          <w:numId w:val="65"/>
        </w:numPr>
        <w:jc w:val="both"/>
        <w:rPr>
          <w:rFonts w:eastAsia="Times New Roman"/>
          <w:sz w:val="24"/>
          <w:szCs w:val="24"/>
        </w:rPr>
      </w:pPr>
      <w:r w:rsidRPr="0062535F">
        <w:rPr>
          <w:rFonts w:eastAsia="Times New Roman"/>
          <w:sz w:val="24"/>
          <w:szCs w:val="24"/>
        </w:rPr>
        <w:t>Tez sınavı en az 60 dakika olup tez çalışmasının sunulması ve bunu izleyen soru-cevap bölümlerinden oluşur. Tez sınavı, dinleyicilerin katılımına açık ortamlarda gerçekleştirilir.</w:t>
      </w:r>
    </w:p>
    <w:p w:rsidRPr="0062535F" w:rsidR="0062535F" w:rsidP="0062535F" w:rsidRDefault="0062535F">
      <w:pPr>
        <w:numPr>
          <w:ilvl w:val="0"/>
          <w:numId w:val="65"/>
        </w:numPr>
        <w:jc w:val="both"/>
        <w:rPr>
          <w:rFonts w:eastAsia="Times New Roman"/>
          <w:sz w:val="24"/>
          <w:szCs w:val="24"/>
        </w:rPr>
      </w:pPr>
      <w:r w:rsidRPr="0062535F">
        <w:rPr>
          <w:rFonts w:eastAsia="Times New Roman"/>
          <w:sz w:val="24"/>
          <w:szCs w:val="24"/>
        </w:rPr>
        <w:t xml:space="preserve">Tez savunma sınavından sonra, jüri dinleyicilere kapalı olarak tez hakkında oy çokluğu veya oy birliğiyle kabul, ret veya düzeltme kararı verir ve bunu bir tutanakla (FR/ FBE /17) belgeler. Bu </w:t>
      </w:r>
      <w:r w:rsidRPr="0062535F">
        <w:rPr>
          <w:rFonts w:eastAsia="Times New Roman"/>
          <w:sz w:val="24"/>
          <w:szCs w:val="24"/>
        </w:rPr>
        <w:lastRenderedPageBreak/>
        <w:t>karar, Enstitü Anabilim Dalı başkanlığınca tez sınavını izleyen üç gün içinde Enstitüye tutanakla bildirilir.</w:t>
      </w:r>
    </w:p>
    <w:p w:rsidRPr="0062535F" w:rsidR="0062535F" w:rsidP="0062535F" w:rsidRDefault="0062535F">
      <w:pPr>
        <w:numPr>
          <w:ilvl w:val="0"/>
          <w:numId w:val="65"/>
        </w:numPr>
        <w:jc w:val="both"/>
        <w:rPr>
          <w:rFonts w:eastAsia="Times New Roman"/>
          <w:sz w:val="24"/>
          <w:szCs w:val="24"/>
        </w:rPr>
      </w:pPr>
      <w:r w:rsidRPr="0062535F">
        <w:rPr>
          <w:rFonts w:eastAsia="Times New Roman"/>
          <w:sz w:val="24"/>
          <w:szCs w:val="24"/>
        </w:rPr>
        <w:t>Tez savunmasında başarılı olan öğrenci, mezuniyet aşamasına geçer.</w:t>
      </w:r>
    </w:p>
    <w:p w:rsidRPr="0062535F" w:rsidR="0062535F" w:rsidP="0062535F" w:rsidRDefault="0062535F">
      <w:pPr>
        <w:numPr>
          <w:ilvl w:val="0"/>
          <w:numId w:val="65"/>
        </w:numPr>
        <w:jc w:val="both"/>
        <w:rPr>
          <w:rFonts w:eastAsia="Times New Roman"/>
          <w:sz w:val="24"/>
          <w:szCs w:val="24"/>
        </w:rPr>
      </w:pPr>
      <w:r w:rsidRPr="0062535F">
        <w:rPr>
          <w:rFonts w:eastAsia="Times New Roman"/>
          <w:sz w:val="24"/>
          <w:szCs w:val="24"/>
        </w:rPr>
        <w:t>Ret alan öğrencinin yükseköğretim kurumu ile ilişiği kesilir.</w:t>
      </w:r>
    </w:p>
    <w:p w:rsidRPr="0062535F" w:rsidR="0062535F" w:rsidP="0062535F" w:rsidRDefault="0062535F">
      <w:pPr>
        <w:numPr>
          <w:ilvl w:val="0"/>
          <w:numId w:val="65"/>
        </w:numPr>
        <w:spacing w:after="160" w:line="259" w:lineRule="auto"/>
        <w:contextualSpacing/>
        <w:jc w:val="both"/>
        <w:rPr>
          <w:rFonts w:eastAsia="Times New Roman"/>
          <w:sz w:val="24"/>
          <w:szCs w:val="24"/>
        </w:rPr>
      </w:pPr>
      <w:r w:rsidRPr="0062535F">
        <w:rPr>
          <w:rFonts w:eastAsia="Times New Roman"/>
          <w:sz w:val="24"/>
          <w:szCs w:val="24"/>
        </w:rPr>
        <w:t xml:space="preserve">Düzeltme alan öğrenci 6 ay içerisinde aynı jüri önünde tekrar savunma yapar. Bu durumda, Danışman tekrardan, Tez Teslim Formunu (FR/ FBE /13), teze ilişkin intihal yazılım programı raporunu, Tez Benzerlik Raporu Formunu (FR/ FBE /14) ve Tez Sınavı Jüri ve Tarih Öneri Formunu (FR/ FBE /15) ve elektronik ortamda tezini, teklif edilen savunma sınavı tarihinden en az üç hafta önce Enstitüye teslim eder. Bu savunmada da başarısız bulunan öğrencinin ilişiği kesilir. </w:t>
      </w:r>
    </w:p>
    <w:p w:rsidRPr="0062535F" w:rsidR="0062535F" w:rsidP="0062535F" w:rsidRDefault="0062535F">
      <w:pPr>
        <w:jc w:val="both"/>
        <w:rPr>
          <w:rFonts w:eastAsia="Times New Roman"/>
          <w:b/>
          <w:bCs/>
          <w:color w:val="FF0000"/>
          <w:sz w:val="24"/>
          <w:szCs w:val="24"/>
        </w:rPr>
      </w:pPr>
    </w:p>
    <w:p w:rsidRPr="0062535F" w:rsidR="0062535F" w:rsidP="0062535F" w:rsidRDefault="0062535F">
      <w:pPr>
        <w:jc w:val="both"/>
        <w:rPr>
          <w:rFonts w:eastAsia="Times New Roman"/>
          <w:sz w:val="24"/>
          <w:szCs w:val="24"/>
        </w:rPr>
      </w:pPr>
      <w:r w:rsidRPr="0062535F">
        <w:rPr>
          <w:rFonts w:eastAsia="Times New Roman"/>
          <w:b/>
          <w:bCs/>
          <w:sz w:val="24"/>
          <w:szCs w:val="24"/>
        </w:rPr>
        <w:t>Mezuniyet Aşaması</w:t>
      </w:r>
    </w:p>
    <w:p w:rsidRPr="0062535F" w:rsidR="0062535F" w:rsidP="0062535F" w:rsidRDefault="0062535F">
      <w:pPr>
        <w:numPr>
          <w:ilvl w:val="0"/>
          <w:numId w:val="66"/>
        </w:numPr>
        <w:jc w:val="both"/>
        <w:rPr>
          <w:rFonts w:eastAsia="Times New Roman"/>
          <w:sz w:val="24"/>
          <w:szCs w:val="24"/>
        </w:rPr>
      </w:pPr>
      <w:r w:rsidRPr="0062535F">
        <w:rPr>
          <w:rFonts w:eastAsia="Times New Roman"/>
          <w:sz w:val="24"/>
          <w:szCs w:val="24"/>
        </w:rPr>
        <w:t>Tez çalışmasını tamamlayan öğrenci, yazım kurallarına uygun olup olmadığını kontrol için tezini enstitüye teslim eder. Tezi yazım kuralları kontrolünden geçen öğrenci, tezin elektronik ortamda kopyasını, mezuniyet talebini bildiren dilekçesi (FR/ FBE /30),  Ulusal Tez Merkezi’nden indirilmiş, 2 adet Tez Veri Girişi Formu (</w:t>
      </w:r>
      <w:hyperlink w:history="1" r:id="rId8">
        <w:r w:rsidRPr="0062535F">
          <w:rPr>
            <w:rFonts w:eastAsia="Times New Roman"/>
            <w:color w:val="0000FF"/>
            <w:sz w:val="24"/>
            <w:szCs w:val="24"/>
            <w:u w:val="single"/>
          </w:rPr>
          <w:t>Linke tıklayınız</w:t>
        </w:r>
      </w:hyperlink>
      <w:r w:rsidRPr="0062535F">
        <w:rPr>
          <w:rFonts w:eastAsia="Times New Roman"/>
          <w:sz w:val="24"/>
          <w:szCs w:val="24"/>
        </w:rPr>
        <w:t xml:space="preserve">) ve öğrenci kimlik kartı ile birlikte,  mezuniyet işlemlerinin yapılabilmesi için, en geç bir ay içerisinde Enstitüye teslim eder. UBYS üzerinden de ilişki kesme sürecini başlatır. </w:t>
      </w:r>
    </w:p>
    <w:p w:rsidRPr="0062535F" w:rsidR="0062535F" w:rsidP="0062535F" w:rsidRDefault="0062535F">
      <w:pPr>
        <w:ind w:left="1416"/>
        <w:jc w:val="both"/>
        <w:rPr>
          <w:sz w:val="24"/>
          <w:szCs w:val="24"/>
        </w:rPr>
      </w:pPr>
      <w:r w:rsidRPr="0062535F">
        <w:rPr>
          <w:rFonts w:eastAsia="Times New Roman"/>
          <w:sz w:val="24"/>
          <w:szCs w:val="24"/>
        </w:rPr>
        <w:t>* Tezin içeriğinde kişisel veriler (ıslak imza ve tez yazarına ait TC kimlik no, doğum yeri-tarihi, email, telefon, adres, fotoğraf yer almamalıdır.)</w:t>
      </w:r>
    </w:p>
    <w:p w:rsidRPr="0062535F" w:rsidR="0062535F" w:rsidP="0062535F" w:rsidRDefault="0062535F">
      <w:pPr>
        <w:ind w:left="1416"/>
        <w:jc w:val="both"/>
        <w:rPr>
          <w:rFonts w:eastAsia="Times New Roman"/>
          <w:sz w:val="24"/>
          <w:szCs w:val="24"/>
        </w:rPr>
      </w:pPr>
      <w:r w:rsidRPr="0062535F">
        <w:rPr>
          <w:rFonts w:eastAsia="Times New Roman"/>
          <w:sz w:val="24"/>
          <w:szCs w:val="24"/>
        </w:rPr>
        <w:t>*UBYS üzerinden İlişik Kesme Sürecini Başlatmak için: Öğrenci Bilgi Ekranı – Diğer- Özgeçmiş Ekranına Git- Düzenle- Değişiklikleri Kaydet sayfayı kapatınız ve tekrar "Öğrenci Bilgi Ekranı" - "Diğer" İlişik Kesme Sürecini Başlat (Öncesinde harç borcunuz olup olmadığını kontrol ediniz.)</w:t>
      </w:r>
    </w:p>
    <w:p w:rsidRPr="0062535F" w:rsidR="0062535F" w:rsidP="0062535F" w:rsidRDefault="0062535F">
      <w:pPr>
        <w:numPr>
          <w:ilvl w:val="0"/>
          <w:numId w:val="66"/>
        </w:numPr>
        <w:ind w:left="714" w:hanging="357"/>
        <w:contextualSpacing/>
        <w:jc w:val="both"/>
        <w:rPr>
          <w:rFonts w:eastAsia="Calibri"/>
          <w:sz w:val="24"/>
          <w:lang w:eastAsia="en-US"/>
        </w:rPr>
      </w:pPr>
      <w:r w:rsidRPr="0062535F">
        <w:rPr>
          <w:rFonts w:eastAsia="Calibri"/>
          <w:sz w:val="24"/>
          <w:lang w:eastAsia="en-US"/>
        </w:rPr>
        <w:t>Öğrenci, mezun olabilmek için FBE 502 Araştırma Metotları ve Etik dersi dâhil toplam ondört (14) ders, iki (2) Seminer, Uzmanlık Alanı ve Tez Çalışması olmak üzere toplam en az 300 AKTS kredisini tamamlamış olmalıdır.</w:t>
      </w:r>
    </w:p>
    <w:p w:rsidRPr="0062535F" w:rsidR="0062535F" w:rsidP="0062535F" w:rsidRDefault="0062535F">
      <w:pPr>
        <w:numPr>
          <w:ilvl w:val="0"/>
          <w:numId w:val="66"/>
        </w:numPr>
        <w:spacing w:after="160" w:line="259" w:lineRule="auto"/>
        <w:contextualSpacing/>
        <w:jc w:val="both"/>
        <w:rPr>
          <w:rFonts w:eastAsia="Times New Roman"/>
          <w:sz w:val="24"/>
          <w:szCs w:val="24"/>
        </w:rPr>
      </w:pPr>
      <w:r w:rsidRPr="0062535F">
        <w:rPr>
          <w:rFonts w:eastAsia="Times New Roman"/>
          <w:sz w:val="24"/>
          <w:szCs w:val="24"/>
        </w:rPr>
        <w:t>Orman Mühendisliği ve Su Ürünleri haricindeki programlarda Doktora öğrencilerinin danışmanı ile birlikte tez çalışmasından üretilmiş olmak kaydıyla, SCI, SCI-Expanded, SSCI veya AHCI kapsamındaki dergilerde ilk isim veya eşit katkı (equal contribution) sağladığı dergide belirtilmiş ikinci isim olarak yer aldığı yayınlanmış veya yayına kabul edilmiş (kabul yazısı veya DOI numarası almış) en az bir makalesinin olması veya kabul edilmiş patenti belgelemiş olması; ve ek olarak, ulusal/uluslararası hakemli bilimsel etkinliklerde en az bir kere sözlü sunum yapmış olması mezuniyet için yayın şartı olarak aranır. Orman Mühendisliği ve Su Ürünleri programlarında Doktora öğrencilerinin danışmanı ile birlikte tez çalışmasından üretilmiş olmak kaydıyla, uluslararası endekslerde taranan dergilerde veya Ulakbim TR Dizin’ de yer alan dergilerde ilk isim veya eşit katkı (equal contribution) sağladığı dergide belirtilmiş ikinci isim, olarak yer aldığı yayınlanmış veya yayına kabul edilmiş (kabul yazısı veya DOI numarası almış) en az bir makalesinin olması veya kabul edilmiş patenti belgelemiş olması; ve ek olarak,ulusal/uluslararası hakemli bilimsel etkinliklerde en az bir kere sözlü sunum yapmış olması mezuniyet için yayın şartı olarak aranır.</w:t>
      </w:r>
    </w:p>
    <w:p w:rsidRPr="0062535F" w:rsidR="0062535F" w:rsidP="0062535F" w:rsidRDefault="0062535F">
      <w:pPr>
        <w:ind w:left="714"/>
        <w:jc w:val="both"/>
        <w:rPr>
          <w:rFonts w:eastAsia="Times New Roman"/>
          <w:sz w:val="24"/>
          <w:szCs w:val="24"/>
        </w:rPr>
      </w:pPr>
    </w:p>
    <w:p w:rsidRPr="0062535F" w:rsidR="0062535F" w:rsidP="0062535F" w:rsidRDefault="0062535F">
      <w:pPr>
        <w:numPr>
          <w:ilvl w:val="0"/>
          <w:numId w:val="66"/>
        </w:numPr>
        <w:ind w:left="714" w:hanging="357"/>
        <w:jc w:val="both"/>
        <w:rPr>
          <w:rFonts w:eastAsia="Times New Roman"/>
          <w:sz w:val="24"/>
          <w:szCs w:val="24"/>
        </w:rPr>
      </w:pPr>
      <w:r w:rsidRPr="0062535F">
        <w:rPr>
          <w:rFonts w:eastAsia="Times New Roman"/>
          <w:sz w:val="24"/>
          <w:szCs w:val="24"/>
        </w:rPr>
        <w:lastRenderedPageBreak/>
        <w:t>Mezuniyet için not ortalaması en az 3.00/4.00 olmalıdır.</w:t>
      </w:r>
    </w:p>
    <w:p w:rsidRPr="0062535F" w:rsidR="0062535F" w:rsidP="0062535F" w:rsidRDefault="0062535F">
      <w:pPr>
        <w:ind w:left="720"/>
        <w:jc w:val="both"/>
        <w:rPr>
          <w:rFonts w:eastAsia="Times New Roman"/>
          <w:sz w:val="24"/>
          <w:szCs w:val="24"/>
        </w:rPr>
      </w:pPr>
    </w:p>
    <w:p w:rsidRPr="0062535F" w:rsidR="0062535F" w:rsidP="0062535F" w:rsidRDefault="0062535F">
      <w:pPr>
        <w:ind w:left="357" w:firstLine="3"/>
        <w:jc w:val="both"/>
        <w:rPr>
          <w:rFonts w:eastAsia="Times New Roman"/>
          <w:sz w:val="24"/>
          <w:szCs w:val="24"/>
        </w:rPr>
      </w:pPr>
      <w:r w:rsidRPr="0062535F">
        <w:rPr>
          <w:rFonts w:eastAsia="Times New Roman"/>
          <w:sz w:val="24"/>
          <w:szCs w:val="24"/>
        </w:rPr>
        <w:t xml:space="preserve">Mezuniyet tarihi tezin elektronik ortamda kopyasının mezuniyet talebini bildiren dilekçe (FR/ FBE /30) ile birlikte teslim edildiği tarihtir. Tüm koşulları sağlayan öğrenciye bütünleşik doktora diploması verilir. Tezin tesliminden itibaren üç ay içinde doktora tezinin bir kopyası elektronik ortamda, bilimsel araştırma ve faaliyetlerin hizmetine sunulmak üzere Enstitü tarafından YÖK’e gönderilir. Enstitümüz eğitim ve öğretim başlangıç ve bitiş, yarıyıl/yılsonu sınav tarihleri, katkı payı/öğrenim ücreti yatırma, kayıt yenileme ile benzeri konular akademik takvimde belirtilir. Yukarıdaki süreçler bu takvime göre işler. </w:t>
      </w:r>
    </w:p>
    <w:p w:rsidRPr="0062535F" w:rsidR="0062535F" w:rsidP="0062535F" w:rsidRDefault="0062535F">
      <w:pPr>
        <w:rPr>
          <w:rFonts w:eastAsia="Times New Roman"/>
          <w:sz w:val="24"/>
          <w:szCs w:val="24"/>
        </w:rPr>
      </w:pPr>
    </w:p>
    <w:p w:rsidRPr="0062535F" w:rsidR="0062535F" w:rsidP="0062535F" w:rsidRDefault="0062535F">
      <w:pPr>
        <w:numPr>
          <w:ilvl w:val="0"/>
          <w:numId w:val="59"/>
        </w:numPr>
        <w:contextualSpacing/>
        <w:rPr>
          <w:rFonts w:eastAsia="Calibri"/>
          <w:b/>
          <w:color w:val="AC182D"/>
          <w:sz w:val="24"/>
          <w:lang w:eastAsia="en-US"/>
        </w:rPr>
      </w:pPr>
      <w:r w:rsidRPr="0062535F">
        <w:rPr>
          <w:rFonts w:eastAsia="Calibri"/>
          <w:b/>
          <w:color w:val="AC182D"/>
          <w:sz w:val="24"/>
          <w:lang w:eastAsia="en-US"/>
        </w:rPr>
        <w:t>İLGİLİ DOKÜMANLAR</w:t>
      </w:r>
    </w:p>
    <w:p w:rsidRPr="0062535F" w:rsidR="0062535F" w:rsidP="0062535F" w:rsidRDefault="0062535F">
      <w:pPr>
        <w:ind w:left="360"/>
        <w:contextualSpacing/>
        <w:rPr>
          <w:rFonts w:eastAsia="Calibri"/>
          <w:b/>
          <w:color w:val="AC182D"/>
          <w:sz w:val="24"/>
          <w:lang w:eastAsia="en-US"/>
        </w:rPr>
      </w:pP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Ders Ekleme-Çıkarma </w:t>
      </w:r>
      <w:hyperlink w:history="1" r:id="rId9">
        <w:r w:rsidRPr="0062535F">
          <w:rPr>
            <w:rFonts w:eastAsia="Times New Roman"/>
            <w:color w:val="0000FF"/>
            <w:sz w:val="24"/>
            <w:szCs w:val="24"/>
            <w:u w:val="single"/>
          </w:rPr>
          <w:t>Formu</w:t>
        </w:r>
      </w:hyperlink>
      <w:r w:rsidRPr="0062535F">
        <w:rPr>
          <w:rFonts w:eastAsia="Times New Roman"/>
          <w:sz w:val="24"/>
          <w:szCs w:val="24"/>
        </w:rPr>
        <w:t xml:space="preserve"> (FR/FBE/01)</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Diğer Yüksek Öğretim Kurumlarından Ders Alma </w:t>
      </w:r>
      <w:hyperlink w:history="1" r:id="rId10">
        <w:r w:rsidRPr="0062535F">
          <w:rPr>
            <w:rFonts w:eastAsia="Times New Roman"/>
            <w:color w:val="0000FF"/>
            <w:sz w:val="24"/>
            <w:szCs w:val="24"/>
            <w:u w:val="single"/>
          </w:rPr>
          <w:t>Formu</w:t>
        </w:r>
      </w:hyperlink>
      <w:r w:rsidRPr="0062535F">
        <w:rPr>
          <w:rFonts w:eastAsia="Times New Roman"/>
          <w:sz w:val="24"/>
          <w:szCs w:val="24"/>
        </w:rPr>
        <w:t xml:space="preserve"> (FR/ FBE /02)</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Danışman Öneri </w:t>
      </w:r>
      <w:hyperlink w:history="1" r:id="rId11">
        <w:r w:rsidRPr="0062535F">
          <w:rPr>
            <w:rFonts w:eastAsia="Times New Roman"/>
            <w:color w:val="0000FF"/>
            <w:sz w:val="24"/>
            <w:szCs w:val="24"/>
            <w:u w:val="single"/>
          </w:rPr>
          <w:t>Formu</w:t>
        </w:r>
      </w:hyperlink>
      <w:r w:rsidRPr="0062535F">
        <w:rPr>
          <w:rFonts w:eastAsia="Times New Roman"/>
          <w:sz w:val="24"/>
          <w:szCs w:val="24"/>
        </w:rPr>
        <w:t xml:space="preserve"> (FR/ FBE /08)</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İkinci Danışman Öneri </w:t>
      </w:r>
      <w:hyperlink w:history="1" r:id="rId12">
        <w:r w:rsidRPr="0062535F">
          <w:rPr>
            <w:rFonts w:eastAsia="Times New Roman"/>
            <w:color w:val="0000FF"/>
            <w:sz w:val="24"/>
            <w:szCs w:val="24"/>
            <w:u w:val="single"/>
          </w:rPr>
          <w:t>Formu</w:t>
        </w:r>
      </w:hyperlink>
      <w:r w:rsidRPr="0062535F">
        <w:rPr>
          <w:rFonts w:eastAsia="Times New Roman"/>
          <w:sz w:val="24"/>
          <w:szCs w:val="24"/>
        </w:rPr>
        <w:t xml:space="preserve"> (FR/ FBE /09)</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Danışman Değişikliği Talep </w:t>
      </w:r>
      <w:hyperlink w:history="1" r:id="rId13">
        <w:r w:rsidRPr="0062535F">
          <w:rPr>
            <w:rFonts w:eastAsia="Times New Roman"/>
            <w:color w:val="0000FF"/>
            <w:sz w:val="24"/>
            <w:szCs w:val="24"/>
            <w:u w:val="single"/>
          </w:rPr>
          <w:t>Formu</w:t>
        </w:r>
      </w:hyperlink>
      <w:r w:rsidRPr="0062535F">
        <w:rPr>
          <w:rFonts w:eastAsia="Times New Roman"/>
          <w:sz w:val="24"/>
          <w:szCs w:val="24"/>
        </w:rPr>
        <w:t xml:space="preserve"> (FR/FBE/10) </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Doktora Yeterlik Sınavı Konuları Bildirim </w:t>
      </w:r>
      <w:hyperlink w:history="1" r:id="rId14">
        <w:r w:rsidRPr="0062535F">
          <w:rPr>
            <w:rFonts w:eastAsia="Times New Roman"/>
            <w:color w:val="0000FF"/>
            <w:sz w:val="24"/>
            <w:szCs w:val="24"/>
            <w:u w:val="single"/>
          </w:rPr>
          <w:t>Formu</w:t>
        </w:r>
      </w:hyperlink>
      <w:r w:rsidRPr="0062535F">
        <w:rPr>
          <w:rFonts w:eastAsia="Times New Roman"/>
          <w:sz w:val="24"/>
          <w:szCs w:val="24"/>
        </w:rPr>
        <w:t xml:space="preserve"> (FR/ FBE /18)</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Doktora Yeterlik Sınavı Jüri ve Tarih Öneri </w:t>
      </w:r>
      <w:hyperlink w:history="1" r:id="rId15">
        <w:r w:rsidRPr="0062535F">
          <w:rPr>
            <w:rFonts w:eastAsia="Times New Roman"/>
            <w:color w:val="0000FF"/>
            <w:sz w:val="24"/>
            <w:szCs w:val="24"/>
            <w:u w:val="single"/>
          </w:rPr>
          <w:t>Formu</w:t>
        </w:r>
      </w:hyperlink>
      <w:r w:rsidRPr="0062535F">
        <w:rPr>
          <w:rFonts w:eastAsia="Times New Roman"/>
          <w:sz w:val="24"/>
          <w:szCs w:val="24"/>
        </w:rPr>
        <w:t xml:space="preserve"> (FR/ FBE /19)</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Doktora Yeterlik Sınavı Tutanağı </w:t>
      </w:r>
      <w:hyperlink w:history="1" r:id="rId16">
        <w:r w:rsidRPr="0062535F">
          <w:rPr>
            <w:rFonts w:eastAsia="Times New Roman"/>
            <w:color w:val="0000FF"/>
            <w:sz w:val="24"/>
            <w:szCs w:val="24"/>
            <w:u w:val="single"/>
          </w:rPr>
          <w:t>Formu</w:t>
        </w:r>
      </w:hyperlink>
      <w:r w:rsidRPr="0062535F">
        <w:rPr>
          <w:rFonts w:eastAsia="Times New Roman"/>
          <w:sz w:val="24"/>
          <w:szCs w:val="24"/>
        </w:rPr>
        <w:t xml:space="preserve"> (FR/ FBE /20)</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Doktora Tez İzleme Komitesi Öneri </w:t>
      </w:r>
      <w:hyperlink w:history="1" r:id="rId17">
        <w:r w:rsidRPr="0062535F">
          <w:rPr>
            <w:rFonts w:eastAsia="Times New Roman"/>
            <w:color w:val="0000FF"/>
            <w:sz w:val="24"/>
            <w:szCs w:val="24"/>
            <w:u w:val="single"/>
          </w:rPr>
          <w:t>Formu</w:t>
        </w:r>
      </w:hyperlink>
      <w:r w:rsidRPr="0062535F">
        <w:rPr>
          <w:rFonts w:eastAsia="Times New Roman"/>
          <w:sz w:val="24"/>
          <w:szCs w:val="24"/>
        </w:rPr>
        <w:t xml:space="preserve"> (FR/ FBE /21) </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Doktora Tez Önerisi Savunma Sınavı Başvuru </w:t>
      </w:r>
      <w:hyperlink w:history="1" r:id="rId18">
        <w:r w:rsidRPr="0062535F">
          <w:rPr>
            <w:rFonts w:eastAsia="Times New Roman"/>
            <w:color w:val="0000FF"/>
            <w:sz w:val="24"/>
            <w:szCs w:val="24"/>
            <w:u w:val="single"/>
          </w:rPr>
          <w:t>Formu</w:t>
        </w:r>
      </w:hyperlink>
      <w:r w:rsidRPr="0062535F">
        <w:rPr>
          <w:rFonts w:eastAsia="Times New Roman"/>
          <w:sz w:val="24"/>
          <w:szCs w:val="24"/>
        </w:rPr>
        <w:t xml:space="preserve"> (FR/ FBE /22)</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Doktora Tez Önerisi Savunma Sınav Tutanağı </w:t>
      </w:r>
      <w:hyperlink w:history="1" r:id="rId19">
        <w:r w:rsidRPr="0062535F">
          <w:rPr>
            <w:rFonts w:eastAsia="Times New Roman"/>
            <w:color w:val="0000FF"/>
            <w:sz w:val="24"/>
            <w:szCs w:val="24"/>
            <w:u w:val="single"/>
          </w:rPr>
          <w:t>Formu</w:t>
        </w:r>
      </w:hyperlink>
      <w:r w:rsidRPr="0062535F">
        <w:rPr>
          <w:rFonts w:eastAsia="Times New Roman"/>
          <w:sz w:val="24"/>
          <w:szCs w:val="24"/>
        </w:rPr>
        <w:t xml:space="preserve"> (FR/ FBE /23)</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Doktora Tez İzleme Komitesi (TİK) Tutanağı </w:t>
      </w:r>
      <w:hyperlink w:history="1" r:id="rId20">
        <w:r w:rsidRPr="0062535F">
          <w:rPr>
            <w:rFonts w:eastAsia="Times New Roman"/>
            <w:color w:val="0000FF"/>
            <w:sz w:val="24"/>
            <w:szCs w:val="24"/>
            <w:u w:val="single"/>
          </w:rPr>
          <w:t>Formu</w:t>
        </w:r>
      </w:hyperlink>
      <w:r w:rsidRPr="0062535F">
        <w:rPr>
          <w:rFonts w:eastAsia="Times New Roman"/>
          <w:sz w:val="24"/>
          <w:szCs w:val="24"/>
        </w:rPr>
        <w:t xml:space="preserve"> (FR/ FBE /25)</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Tez Teslim </w:t>
      </w:r>
      <w:hyperlink w:history="1" r:id="rId21">
        <w:r w:rsidRPr="0062535F">
          <w:rPr>
            <w:rFonts w:eastAsia="Times New Roman"/>
            <w:color w:val="0000FF"/>
            <w:sz w:val="24"/>
            <w:szCs w:val="24"/>
            <w:u w:val="single"/>
          </w:rPr>
          <w:t>Formu</w:t>
        </w:r>
      </w:hyperlink>
      <w:r w:rsidRPr="0062535F">
        <w:rPr>
          <w:rFonts w:eastAsia="Times New Roman"/>
          <w:sz w:val="24"/>
          <w:szCs w:val="24"/>
        </w:rPr>
        <w:t xml:space="preserve"> (FR/ FBE /13)</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Tez Benzerlik Raporu </w:t>
      </w:r>
      <w:hyperlink w:history="1" r:id="rId22">
        <w:r w:rsidRPr="0062535F">
          <w:rPr>
            <w:rFonts w:eastAsia="Times New Roman"/>
            <w:color w:val="0000FF"/>
            <w:sz w:val="24"/>
            <w:szCs w:val="24"/>
            <w:u w:val="single"/>
          </w:rPr>
          <w:t>Formu</w:t>
        </w:r>
      </w:hyperlink>
      <w:r w:rsidRPr="0062535F">
        <w:rPr>
          <w:rFonts w:eastAsia="Times New Roman"/>
          <w:sz w:val="24"/>
          <w:szCs w:val="24"/>
        </w:rPr>
        <w:t xml:space="preserve"> (FR/ FBE /14)</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Tez Sınavı Jüri ve Tarih Öneri </w:t>
      </w:r>
      <w:hyperlink w:history="1" r:id="rId23">
        <w:r w:rsidRPr="0062535F">
          <w:rPr>
            <w:rFonts w:eastAsia="Times New Roman"/>
            <w:color w:val="0000FF"/>
            <w:sz w:val="24"/>
            <w:szCs w:val="24"/>
            <w:u w:val="single"/>
          </w:rPr>
          <w:t>Formu</w:t>
        </w:r>
      </w:hyperlink>
      <w:r w:rsidRPr="0062535F">
        <w:rPr>
          <w:rFonts w:eastAsia="Times New Roman"/>
          <w:sz w:val="24"/>
          <w:szCs w:val="24"/>
        </w:rPr>
        <w:t xml:space="preserve"> (FR/ FBE /15)</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Tez Bireysel Değerlendirme Raporu </w:t>
      </w:r>
      <w:hyperlink w:history="1" r:id="rId24">
        <w:r w:rsidRPr="0062535F">
          <w:rPr>
            <w:rFonts w:eastAsia="Times New Roman"/>
            <w:color w:val="0000FF"/>
            <w:sz w:val="24"/>
            <w:szCs w:val="24"/>
            <w:u w:val="single"/>
          </w:rPr>
          <w:t>Formu</w:t>
        </w:r>
      </w:hyperlink>
      <w:r w:rsidRPr="0062535F">
        <w:rPr>
          <w:rFonts w:eastAsia="Times New Roman"/>
          <w:sz w:val="24"/>
          <w:szCs w:val="24"/>
        </w:rPr>
        <w:t xml:space="preserve"> (FR/ FBE /16)</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Tez Savunma Sınavı Tutanağı </w:t>
      </w:r>
      <w:hyperlink w:history="1" r:id="rId25">
        <w:r w:rsidRPr="0062535F">
          <w:rPr>
            <w:rFonts w:eastAsia="Times New Roman"/>
            <w:color w:val="0000FF"/>
            <w:sz w:val="24"/>
            <w:szCs w:val="24"/>
            <w:u w:val="single"/>
          </w:rPr>
          <w:t xml:space="preserve">Formu </w:t>
        </w:r>
      </w:hyperlink>
      <w:r w:rsidRPr="0062535F">
        <w:rPr>
          <w:rFonts w:eastAsia="Times New Roman"/>
          <w:sz w:val="24"/>
          <w:szCs w:val="24"/>
        </w:rPr>
        <w:t>(FR/ FBE /17)</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Seminer Tutanağı </w:t>
      </w:r>
      <w:hyperlink w:history="1" r:id="rId26">
        <w:r w:rsidRPr="0062535F">
          <w:rPr>
            <w:rFonts w:eastAsia="Times New Roman"/>
            <w:color w:val="0000FF"/>
            <w:sz w:val="24"/>
            <w:szCs w:val="24"/>
            <w:u w:val="single"/>
          </w:rPr>
          <w:t>Formu</w:t>
        </w:r>
      </w:hyperlink>
      <w:r w:rsidRPr="0062535F">
        <w:rPr>
          <w:rFonts w:eastAsia="Times New Roman"/>
          <w:sz w:val="24"/>
          <w:szCs w:val="24"/>
        </w:rPr>
        <w:t xml:space="preserve"> (FR/ FBE /27)</w:t>
      </w:r>
    </w:p>
    <w:p w:rsidRPr="0062535F" w:rsidR="0062535F" w:rsidP="0062535F" w:rsidRDefault="0062535F">
      <w:pPr>
        <w:numPr>
          <w:ilvl w:val="0"/>
          <w:numId w:val="67"/>
        </w:numPr>
        <w:jc w:val="both"/>
        <w:rPr>
          <w:rFonts w:eastAsia="Times New Roman"/>
          <w:sz w:val="24"/>
          <w:szCs w:val="24"/>
        </w:rPr>
      </w:pPr>
      <w:r w:rsidRPr="0062535F">
        <w:rPr>
          <w:rFonts w:eastAsia="Times New Roman"/>
          <w:sz w:val="24"/>
          <w:szCs w:val="24"/>
        </w:rPr>
        <w:t xml:space="preserve">Kayıt Dondurma </w:t>
      </w:r>
      <w:hyperlink w:history="1" r:id="rId27">
        <w:r w:rsidRPr="0062535F">
          <w:rPr>
            <w:rFonts w:eastAsia="Times New Roman"/>
            <w:color w:val="0000FF"/>
            <w:sz w:val="24"/>
            <w:szCs w:val="24"/>
            <w:u w:val="single"/>
          </w:rPr>
          <w:t>Formu</w:t>
        </w:r>
      </w:hyperlink>
      <w:r w:rsidRPr="0062535F">
        <w:rPr>
          <w:rFonts w:eastAsia="Times New Roman"/>
          <w:sz w:val="24"/>
          <w:szCs w:val="24"/>
        </w:rPr>
        <w:t xml:space="preserve"> (FR/ FBE /28)</w:t>
      </w:r>
    </w:p>
    <w:p w:rsidRPr="0062535F" w:rsidR="0062535F" w:rsidP="0062535F" w:rsidRDefault="0062535F">
      <w:pPr>
        <w:numPr>
          <w:ilvl w:val="0"/>
          <w:numId w:val="67"/>
        </w:numPr>
        <w:jc w:val="both"/>
        <w:rPr>
          <w:rFonts w:eastAsia="Times New Roman"/>
          <w:sz w:val="24"/>
          <w:szCs w:val="24"/>
        </w:rPr>
      </w:pPr>
      <w:r w:rsidRPr="0062535F">
        <w:rPr>
          <w:rFonts w:eastAsia="Times New Roman"/>
          <w:bCs/>
          <w:sz w:val="24"/>
          <w:szCs w:val="24"/>
        </w:rPr>
        <w:t>Mezuniyet Talebi </w:t>
      </w:r>
      <w:hyperlink w:history="1" r:id="rId28">
        <w:r w:rsidRPr="0062535F">
          <w:rPr>
            <w:rFonts w:eastAsia="Times New Roman"/>
            <w:bCs/>
            <w:color w:val="0000FF"/>
            <w:sz w:val="24"/>
            <w:szCs w:val="24"/>
            <w:u w:val="single"/>
          </w:rPr>
          <w:t>Formu</w:t>
        </w:r>
      </w:hyperlink>
      <w:r w:rsidRPr="0062535F">
        <w:rPr>
          <w:rFonts w:eastAsia="Times New Roman"/>
          <w:sz w:val="24"/>
          <w:szCs w:val="24"/>
        </w:rPr>
        <w:t xml:space="preserve"> (FR/ FBE /30)</w:t>
      </w:r>
    </w:p>
    <w:p w:rsidRPr="00661167" w:rsidR="00425083" w:rsidP="0062535F" w:rsidRDefault="00425083"/>
    <w:sectPr w:rsidRPr="00661167" w:rsidR="00425083" w:rsidSect="00E363C8">
      <w:footerReference r:id="R54c96b5d85f34cdc"/>
      <w:headerReference w:type="even" r:id="rId29"/>
      <w:headerReference w:type="default" r:id="rId30"/>
      <w:footerReference w:type="even" r:id="rId31"/>
      <w:footerReference w:type="default" r:id="rId32"/>
      <w:headerReference w:type="first" r:id="rId33"/>
      <w:footerReference w:type="first" r:id="rId3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6D5" w:rsidRDefault="001F66D5">
      <w:r>
        <w:separator/>
      </w:r>
    </w:p>
  </w:endnote>
  <w:endnote w:type="continuationSeparator" w:id="0">
    <w:p w:rsidR="001F66D5" w:rsidRDefault="001F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686"/>
      <w:gridCol w:w="2835"/>
      <w:gridCol w:w="3685"/>
    </w:tblGrid>
    <w:tr w:rsidR="00D44A53" w:rsidTr="00B062A4">
      <w:tc>
        <w:tcPr>
          <w:tcW w:w="3686" w:type="dxa"/>
        </w:tcPr>
        <w:p w:rsidRPr="0081712F" w:rsidR="00D44A53" w:rsidP="00B062A4" w:rsidRDefault="00B062A4">
          <w:pPr>
            <w:pStyle w:val="Altbilgi"/>
            <w:jc w:val="right"/>
            <w:rPr>
              <w:iCs/>
              <w:color w:val="FF0000"/>
              <w:sz w:val="20"/>
              <w:szCs w:val="20"/>
            </w:rPr>
          </w:pPr>
          <w:r>
            <w:rPr>
              <w:b/>
              <w:bCs/>
              <w:iCs/>
              <w:color w:val="000000" w:themeColor="text1"/>
              <w:sz w:val="20"/>
              <w:szCs w:val="20"/>
            </w:rPr>
            <w:t>Form</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FR/GNL/16</w:t>
          </w:r>
        </w:p>
      </w:tc>
      <w:tc>
        <w:tcPr>
          <w:tcW w:w="2835" w:type="dxa"/>
        </w:tcPr>
        <w:p w:rsidRPr="0081712F" w:rsidR="00D44A53" w:rsidP="00B062A4" w:rsidRDefault="00D44A53">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16.08.2018</w:t>
          </w:r>
        </w:p>
      </w:tc>
      <w:tc>
        <w:tcPr>
          <w:tcW w:w="3685" w:type="dxa"/>
        </w:tcPr>
        <w:p w:rsidRPr="0081712F" w:rsidR="00D44A53" w:rsidP="00B062A4" w:rsidRDefault="0081712F">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1 / 8.03.2024</w:t>
          </w:r>
        </w:p>
      </w:tc>
    </w:tr>
  </w:tbl>
  <w:p w:rsidR="00D44A53" w:rsidP="00D50057" w:rsidRDefault="00D44A53">
    <w:pPr>
      <w:pStyle w:val="Altbilgi"/>
      <w:rPr>
        <w:color w:val="FF0000"/>
        <w:sz w:val="2"/>
        <w:szCs w:val="2"/>
      </w:rPr>
    </w:pPr>
  </w:p>
  <w:p w:rsidRPr="00025CE8" w:rsidR="00D44A53" w:rsidP="00D50057" w:rsidRDefault="00025CE8">
    <w:pPr>
      <w:pStyle w:val="Altbilgi"/>
      <w:rPr>
        <w:sz w:val="2"/>
        <w:szCs w:val="2"/>
      </w:rPr>
    </w:pPr>
    <w:r w:rsidRPr="00025CE8">
      <w:rPr>
        <w:iCs/>
        <w:sz w:val="2"/>
        <w:szCs w:val="2"/>
      </w:rPr>
      <w:t>Dokümante Prosedür Ve Talimat Formu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6D5" w:rsidRDefault="001F66D5">
      <w:r>
        <w:separator/>
      </w:r>
    </w:p>
  </w:footnote>
  <w:footnote w:type="continuationSeparator" w:id="0">
    <w:p w:rsidR="001F66D5" w:rsidRDefault="001F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Fen Bilimleri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FEN BİLİMLERİ ENSTİTÜSÜ BÜTÜNLEŞİK DOKTORA EĞİTİM VE MEZUNİYET SÜRECİ YÜRÜTME TALİMATI</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B062A4" w:rsidRDefault="00B062A4">
          <w:pPr>
            <w:pStyle w:val="GvdeMetni"/>
            <w:spacing w:after="0"/>
            <w:rPr>
              <w:rFonts w:ascii="Times New Roman" w:hAnsi="Times New Roman"/>
            </w:rPr>
          </w:pPr>
          <w:r>
            <w:rPr>
              <w:rFonts w:ascii="Times New Roman" w:hAnsi="Times New Roman"/>
              <w:b/>
            </w:rPr>
            <w:t>Dok.</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TL/FBE/04</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B062A4" w:rsidRDefault="00F91F41">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31.08.2022</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B062A4" w:rsidRDefault="00F91F41">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02/4.12.2024</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095A92">
            <w:rPr>
              <w:rFonts w:ascii="Times New Roman" w:hAnsi="Times New Roman"/>
              <w:b/>
              <w:noProof/>
            </w:rPr>
            <w:t>6</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095A92">
            <w:rPr>
              <w:rFonts w:ascii="Times New Roman" w:hAnsi="Times New Roman"/>
              <w:b/>
              <w:noProof/>
            </w:rPr>
            <w:t>6</w:t>
          </w:r>
          <w:r w:rsidRPr="006A0EAB">
            <w:rPr>
              <w:rFonts w:ascii="Times New Roman" w:hAnsi="Times New Roman"/>
              <w:b/>
            </w:rPr>
            <w:fldChar w:fldCharType="end"/>
          </w:r>
        </w:p>
      </w:tc>
    </w:tr>
  </w:tbl>
  <w:p w:rsidRPr="00DE3048" w:rsidR="00B2465E" w:rsidRDefault="00B2465E">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E8" w:rsidRDefault="00025CE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39B"/>
    <w:multiLevelType w:val="multilevel"/>
    <w:tmpl w:val="98FED29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D51BD"/>
    <w:multiLevelType w:val="hybridMultilevel"/>
    <w:tmpl w:val="F0E89A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nsid w:val="0866521B"/>
    <w:multiLevelType w:val="hybridMultilevel"/>
    <w:tmpl w:val="36D624B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
    <w:nsid w:val="0C2231EF"/>
    <w:multiLevelType w:val="hybridMultilevel"/>
    <w:tmpl w:val="DA6C1A7C"/>
    <w:lvl w:ilvl="0" w:tplc="FFFFFFFF">
      <w:start w:val="1"/>
      <w:numFmt w:val="bullet"/>
      <w:lvlText w:val=""/>
      <w:lvlJc w:val="left"/>
      <w:pPr>
        <w:ind w:left="720" w:hanging="360"/>
      </w:pPr>
      <w:rPr>
        <w:rFonts w:ascii="Symbol" w:hAnsi="Symbol" w:hint="default"/>
        <w:color w:val="AC182D"/>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E6561C3"/>
    <w:multiLevelType w:val="hybridMultilevel"/>
    <w:tmpl w:val="66E6F22E"/>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0E7D756E"/>
    <w:multiLevelType w:val="hybridMultilevel"/>
    <w:tmpl w:val="BE8CB84C"/>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6">
    <w:nsid w:val="0F7E01AC"/>
    <w:multiLevelType w:val="hybridMultilevel"/>
    <w:tmpl w:val="AD063F0A"/>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7">
    <w:nsid w:val="11A934E5"/>
    <w:multiLevelType w:val="hybridMultilevel"/>
    <w:tmpl w:val="F80A569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8">
    <w:nsid w:val="13056342"/>
    <w:multiLevelType w:val="multilevel"/>
    <w:tmpl w:val="5F2E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34674"/>
    <w:multiLevelType w:val="hybridMultilevel"/>
    <w:tmpl w:val="D18A3FB8"/>
    <w:lvl w:ilvl="0" w:tplc="041F0009">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0">
    <w:nsid w:val="1827340B"/>
    <w:multiLevelType w:val="hybridMultilevel"/>
    <w:tmpl w:val="A12A38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19F158FB"/>
    <w:multiLevelType w:val="hybridMultilevel"/>
    <w:tmpl w:val="B52E3742"/>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12">
    <w:nsid w:val="1BAF2DD4"/>
    <w:multiLevelType w:val="hybridMultilevel"/>
    <w:tmpl w:val="2BF269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1CAF1CFD"/>
    <w:multiLevelType w:val="hybridMultilevel"/>
    <w:tmpl w:val="8C9E0868"/>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4">
    <w:nsid w:val="203A7CC6"/>
    <w:multiLevelType w:val="multilevel"/>
    <w:tmpl w:val="1862C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4A7E44"/>
    <w:multiLevelType w:val="hybridMultilevel"/>
    <w:tmpl w:val="A738850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6">
    <w:nsid w:val="22B65D25"/>
    <w:multiLevelType w:val="hybridMultilevel"/>
    <w:tmpl w:val="DC02B190"/>
    <w:lvl w:ilvl="0" w:tplc="DC54212E">
      <w:start w:val="1"/>
      <w:numFmt w:val="bullet"/>
      <w:lvlText w:val=""/>
      <w:lvlJc w:val="left"/>
      <w:pPr>
        <w:ind w:left="1202" w:hanging="360"/>
      </w:pPr>
      <w:rPr>
        <w:rFonts w:ascii="Symbol" w:hAnsi="Symbol" w:hint="default"/>
        <w:b w:val="0"/>
        <w:color w:val="AC182D"/>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17">
    <w:nsid w:val="26596850"/>
    <w:multiLevelType w:val="hybridMultilevel"/>
    <w:tmpl w:val="48E613C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18">
    <w:nsid w:val="2949050F"/>
    <w:multiLevelType w:val="hybridMultilevel"/>
    <w:tmpl w:val="A3D6CE8A"/>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19">
    <w:nsid w:val="2B064092"/>
    <w:multiLevelType w:val="hybridMultilevel"/>
    <w:tmpl w:val="D35AD07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0">
    <w:nsid w:val="2D084BBF"/>
    <w:multiLevelType w:val="hybridMultilevel"/>
    <w:tmpl w:val="5A80453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1">
    <w:nsid w:val="2E2C091F"/>
    <w:multiLevelType w:val="hybridMultilevel"/>
    <w:tmpl w:val="57468C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nsid w:val="302525F8"/>
    <w:multiLevelType w:val="hybridMultilevel"/>
    <w:tmpl w:val="BC9C458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3">
    <w:nsid w:val="37D067C2"/>
    <w:multiLevelType w:val="hybridMultilevel"/>
    <w:tmpl w:val="67DCEFB6"/>
    <w:lvl w:ilvl="0" w:tplc="041F0001">
      <w:start w:val="1"/>
      <w:numFmt w:val="bullet"/>
      <w:lvlText w:val=""/>
      <w:lvlJc w:val="left"/>
      <w:pPr>
        <w:ind w:left="360" w:hanging="360"/>
      </w:pPr>
      <w:rPr>
        <w:rFonts w:ascii="Symbol" w:hAnsi="Symbol" w:hint="default"/>
        <w:color w:val="C00000"/>
      </w:rPr>
    </w:lvl>
    <w:lvl w:ilvl="1" w:tplc="FFFFFFFF">
      <w:start w:val="1"/>
      <w:numFmt w:val="bullet"/>
      <w:lvlText w:val=""/>
      <w:lvlJc w:val="left"/>
      <w:pPr>
        <w:ind w:left="1080" w:hanging="360"/>
      </w:pPr>
      <w:rPr>
        <w:rFonts w:ascii="Symbol" w:hAnsi="Symbol" w:hint="default"/>
        <w:color w:val="AC182D"/>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nsid w:val="37EF010F"/>
    <w:multiLevelType w:val="hybridMultilevel"/>
    <w:tmpl w:val="74EE6EA4"/>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5">
    <w:nsid w:val="3DB038D1"/>
    <w:multiLevelType w:val="hybridMultilevel"/>
    <w:tmpl w:val="F7040E20"/>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6">
    <w:nsid w:val="3E6C6415"/>
    <w:multiLevelType w:val="hybridMultilevel"/>
    <w:tmpl w:val="8B1076A4"/>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27">
    <w:nsid w:val="3E755DED"/>
    <w:multiLevelType w:val="hybridMultilevel"/>
    <w:tmpl w:val="2394636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8">
    <w:nsid w:val="3EB97A47"/>
    <w:multiLevelType w:val="hybridMultilevel"/>
    <w:tmpl w:val="AF20FA2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9">
    <w:nsid w:val="3F893260"/>
    <w:multiLevelType w:val="hybridMultilevel"/>
    <w:tmpl w:val="A7A63918"/>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0">
    <w:nsid w:val="403E48F2"/>
    <w:multiLevelType w:val="hybridMultilevel"/>
    <w:tmpl w:val="8460B7FE"/>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1">
    <w:nsid w:val="421F5EC5"/>
    <w:multiLevelType w:val="hybridMultilevel"/>
    <w:tmpl w:val="0006348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2">
    <w:nsid w:val="42BA1D2E"/>
    <w:multiLevelType w:val="multilevel"/>
    <w:tmpl w:val="3438BD92"/>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714F1D"/>
    <w:multiLevelType w:val="hybridMultilevel"/>
    <w:tmpl w:val="ADC0398C"/>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34">
    <w:nsid w:val="46143565"/>
    <w:multiLevelType w:val="hybridMultilevel"/>
    <w:tmpl w:val="1C846ADC"/>
    <w:lvl w:ilvl="0" w:tplc="041F0009">
      <w:start w:val="1"/>
      <w:numFmt w:val="bullet"/>
      <w:lvlText w:val=""/>
      <w:lvlJc w:val="left"/>
      <w:pPr>
        <w:ind w:left="1202" w:hanging="360"/>
      </w:pPr>
      <w:rPr>
        <w:rFonts w:ascii="Wingdings" w:hAnsi="Wingdings"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35">
    <w:nsid w:val="47F25861"/>
    <w:multiLevelType w:val="hybridMultilevel"/>
    <w:tmpl w:val="7582561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6">
    <w:nsid w:val="4AFA2743"/>
    <w:multiLevelType w:val="hybridMultilevel"/>
    <w:tmpl w:val="C14C382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7">
    <w:nsid w:val="4C650C63"/>
    <w:multiLevelType w:val="hybridMultilevel"/>
    <w:tmpl w:val="D382CC82"/>
    <w:lvl w:ilvl="0" w:tplc="041F000B">
      <w:start w:val="1"/>
      <w:numFmt w:val="bullet"/>
      <w:lvlText w:val=""/>
      <w:lvlJc w:val="left"/>
      <w:pPr>
        <w:ind w:left="501" w:hanging="360"/>
      </w:pPr>
      <w:rPr>
        <w:rFonts w:ascii="Wingdings" w:hAnsi="Wingdings" w:hint="default"/>
        <w:b w:val="0"/>
        <w:color w:val="AC182D"/>
      </w:rPr>
    </w:lvl>
    <w:lvl w:ilvl="1" w:tplc="041F0003">
      <w:start w:val="1"/>
      <w:numFmt w:val="bullet"/>
      <w:lvlText w:val="o"/>
      <w:lvlJc w:val="left"/>
      <w:pPr>
        <w:ind w:left="1703" w:hanging="360"/>
      </w:pPr>
      <w:rPr>
        <w:rFonts w:ascii="Courier New" w:hAnsi="Courier New" w:cs="Courier New" w:hint="default"/>
      </w:rPr>
    </w:lvl>
    <w:lvl w:ilvl="2" w:tplc="041F0005">
      <w:start w:val="1"/>
      <w:numFmt w:val="bullet"/>
      <w:lvlText w:val=""/>
      <w:lvlJc w:val="left"/>
      <w:pPr>
        <w:ind w:left="2423" w:hanging="360"/>
      </w:pPr>
      <w:rPr>
        <w:rFonts w:ascii="Wingdings" w:hAnsi="Wingdings" w:hint="default"/>
      </w:rPr>
    </w:lvl>
    <w:lvl w:ilvl="3" w:tplc="041F0001">
      <w:start w:val="1"/>
      <w:numFmt w:val="bullet"/>
      <w:lvlText w:val=""/>
      <w:lvlJc w:val="left"/>
      <w:pPr>
        <w:ind w:left="3143" w:hanging="360"/>
      </w:pPr>
      <w:rPr>
        <w:rFonts w:ascii="Symbol" w:hAnsi="Symbol" w:hint="default"/>
      </w:rPr>
    </w:lvl>
    <w:lvl w:ilvl="4" w:tplc="041F0003">
      <w:start w:val="1"/>
      <w:numFmt w:val="bullet"/>
      <w:lvlText w:val="o"/>
      <w:lvlJc w:val="left"/>
      <w:pPr>
        <w:ind w:left="3863" w:hanging="360"/>
      </w:pPr>
      <w:rPr>
        <w:rFonts w:ascii="Courier New" w:hAnsi="Courier New" w:cs="Courier New" w:hint="default"/>
      </w:rPr>
    </w:lvl>
    <w:lvl w:ilvl="5" w:tplc="041F0005">
      <w:start w:val="1"/>
      <w:numFmt w:val="bullet"/>
      <w:lvlText w:val=""/>
      <w:lvlJc w:val="left"/>
      <w:pPr>
        <w:ind w:left="4583" w:hanging="360"/>
      </w:pPr>
      <w:rPr>
        <w:rFonts w:ascii="Wingdings" w:hAnsi="Wingdings" w:hint="default"/>
      </w:rPr>
    </w:lvl>
    <w:lvl w:ilvl="6" w:tplc="041F0001">
      <w:start w:val="1"/>
      <w:numFmt w:val="bullet"/>
      <w:lvlText w:val=""/>
      <w:lvlJc w:val="left"/>
      <w:pPr>
        <w:ind w:left="5303" w:hanging="360"/>
      </w:pPr>
      <w:rPr>
        <w:rFonts w:ascii="Symbol" w:hAnsi="Symbol" w:hint="default"/>
      </w:rPr>
    </w:lvl>
    <w:lvl w:ilvl="7" w:tplc="041F0003">
      <w:start w:val="1"/>
      <w:numFmt w:val="bullet"/>
      <w:lvlText w:val="o"/>
      <w:lvlJc w:val="left"/>
      <w:pPr>
        <w:ind w:left="6023" w:hanging="360"/>
      </w:pPr>
      <w:rPr>
        <w:rFonts w:ascii="Courier New" w:hAnsi="Courier New" w:cs="Courier New" w:hint="default"/>
      </w:rPr>
    </w:lvl>
    <w:lvl w:ilvl="8" w:tplc="041F0005">
      <w:start w:val="1"/>
      <w:numFmt w:val="bullet"/>
      <w:lvlText w:val=""/>
      <w:lvlJc w:val="left"/>
      <w:pPr>
        <w:ind w:left="6743" w:hanging="360"/>
      </w:pPr>
      <w:rPr>
        <w:rFonts w:ascii="Wingdings" w:hAnsi="Wingdings" w:hint="default"/>
      </w:rPr>
    </w:lvl>
  </w:abstractNum>
  <w:abstractNum w:abstractNumId="38">
    <w:nsid w:val="4C9E1BF5"/>
    <w:multiLevelType w:val="hybridMultilevel"/>
    <w:tmpl w:val="812E2BA4"/>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39">
    <w:nsid w:val="4E89309A"/>
    <w:multiLevelType w:val="multilevel"/>
    <w:tmpl w:val="9A52C42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59F6CAD"/>
    <w:multiLevelType w:val="hybridMultilevel"/>
    <w:tmpl w:val="AADA1244"/>
    <w:lvl w:ilvl="0" w:tplc="F7A651A0">
      <w:start w:val="1"/>
      <w:numFmt w:val="decimal"/>
      <w:lvlText w:val="%1."/>
      <w:lvlJc w:val="left"/>
      <w:pPr>
        <w:ind w:left="360" w:hanging="360"/>
      </w:pPr>
      <w:rPr>
        <w:b/>
        <w:color w:val="AC182D"/>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5661190F"/>
    <w:multiLevelType w:val="hybridMultilevel"/>
    <w:tmpl w:val="2624B29A"/>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42">
    <w:nsid w:val="5A31481C"/>
    <w:multiLevelType w:val="multilevel"/>
    <w:tmpl w:val="5C7A0E0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AEF4EF9"/>
    <w:multiLevelType w:val="hybridMultilevel"/>
    <w:tmpl w:val="E564BD1A"/>
    <w:lvl w:ilvl="0" w:tplc="FECA143C">
      <w:start w:val="1"/>
      <w:numFmt w:val="bullet"/>
      <w:lvlText w:val=""/>
      <w:lvlJc w:val="left"/>
      <w:pPr>
        <w:ind w:left="643" w:hanging="360"/>
      </w:pPr>
      <w:rPr>
        <w:rFonts w:ascii="Symbol" w:hAnsi="Symbol" w:hint="default"/>
        <w:color w:val="C00000"/>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4">
    <w:nsid w:val="5C6E3B9B"/>
    <w:multiLevelType w:val="multilevel"/>
    <w:tmpl w:val="CC8CB5D0"/>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F2D1019"/>
    <w:multiLevelType w:val="hybridMultilevel"/>
    <w:tmpl w:val="5F0A816A"/>
    <w:lvl w:ilvl="0" w:tplc="FFFFFFFF">
      <w:start w:val="1"/>
      <w:numFmt w:val="bullet"/>
      <w:lvlText w:val=""/>
      <w:lvlJc w:val="left"/>
      <w:pPr>
        <w:ind w:left="360" w:hanging="360"/>
      </w:pPr>
      <w:rPr>
        <w:rFonts w:ascii="Symbol" w:hAnsi="Symbol" w:hint="default"/>
        <w:color w:val="AC182D"/>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6">
    <w:nsid w:val="5FEF2488"/>
    <w:multiLevelType w:val="hybridMultilevel"/>
    <w:tmpl w:val="572C98B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7">
    <w:nsid w:val="60E33892"/>
    <w:multiLevelType w:val="hybridMultilevel"/>
    <w:tmpl w:val="DDFA56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8">
    <w:nsid w:val="629713EB"/>
    <w:multiLevelType w:val="hybridMultilevel"/>
    <w:tmpl w:val="835E34FC"/>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49">
    <w:nsid w:val="62FC2DC3"/>
    <w:multiLevelType w:val="hybridMultilevel"/>
    <w:tmpl w:val="9BB016BE"/>
    <w:lvl w:ilvl="0" w:tplc="041F0001">
      <w:start w:val="1"/>
      <w:numFmt w:val="bullet"/>
      <w:lvlText w:val=""/>
      <w:lvlJc w:val="left"/>
      <w:pPr>
        <w:ind w:left="1202" w:hanging="360"/>
      </w:pPr>
      <w:rPr>
        <w:rFonts w:ascii="Symbol" w:hAnsi="Symbol" w:hint="default"/>
        <w:b w:val="0"/>
      </w:rPr>
    </w:lvl>
    <w:lvl w:ilvl="1" w:tplc="FFFFFFFF">
      <w:start w:val="1"/>
      <w:numFmt w:val="bullet"/>
      <w:lvlText w:val="o"/>
      <w:lvlJc w:val="left"/>
      <w:pPr>
        <w:ind w:left="1922" w:hanging="360"/>
      </w:pPr>
      <w:rPr>
        <w:rFonts w:ascii="Courier New" w:hAnsi="Courier New" w:cs="Courier New" w:hint="default"/>
      </w:rPr>
    </w:lvl>
    <w:lvl w:ilvl="2" w:tplc="FFFFFFFF">
      <w:start w:val="1"/>
      <w:numFmt w:val="bullet"/>
      <w:lvlText w:val=""/>
      <w:lvlJc w:val="left"/>
      <w:pPr>
        <w:ind w:left="2642" w:hanging="360"/>
      </w:pPr>
      <w:rPr>
        <w:rFonts w:ascii="Wingdings" w:hAnsi="Wingdings" w:hint="default"/>
      </w:rPr>
    </w:lvl>
    <w:lvl w:ilvl="3" w:tplc="FFFFFFFF">
      <w:start w:val="1"/>
      <w:numFmt w:val="bullet"/>
      <w:lvlText w:val=""/>
      <w:lvlJc w:val="left"/>
      <w:pPr>
        <w:ind w:left="3362" w:hanging="360"/>
      </w:pPr>
      <w:rPr>
        <w:rFonts w:ascii="Symbol" w:hAnsi="Symbol" w:hint="default"/>
      </w:rPr>
    </w:lvl>
    <w:lvl w:ilvl="4" w:tplc="FFFFFFFF">
      <w:start w:val="1"/>
      <w:numFmt w:val="bullet"/>
      <w:lvlText w:val="o"/>
      <w:lvlJc w:val="left"/>
      <w:pPr>
        <w:ind w:left="4082" w:hanging="360"/>
      </w:pPr>
      <w:rPr>
        <w:rFonts w:ascii="Courier New" w:hAnsi="Courier New" w:cs="Courier New" w:hint="default"/>
      </w:rPr>
    </w:lvl>
    <w:lvl w:ilvl="5" w:tplc="FFFFFFFF">
      <w:start w:val="1"/>
      <w:numFmt w:val="bullet"/>
      <w:lvlText w:val=""/>
      <w:lvlJc w:val="left"/>
      <w:pPr>
        <w:ind w:left="4802" w:hanging="360"/>
      </w:pPr>
      <w:rPr>
        <w:rFonts w:ascii="Wingdings" w:hAnsi="Wingdings" w:hint="default"/>
      </w:rPr>
    </w:lvl>
    <w:lvl w:ilvl="6" w:tplc="FFFFFFFF">
      <w:start w:val="1"/>
      <w:numFmt w:val="bullet"/>
      <w:lvlText w:val=""/>
      <w:lvlJc w:val="left"/>
      <w:pPr>
        <w:ind w:left="5522" w:hanging="360"/>
      </w:pPr>
      <w:rPr>
        <w:rFonts w:ascii="Symbol" w:hAnsi="Symbol" w:hint="default"/>
      </w:rPr>
    </w:lvl>
    <w:lvl w:ilvl="7" w:tplc="FFFFFFFF">
      <w:start w:val="1"/>
      <w:numFmt w:val="bullet"/>
      <w:lvlText w:val="o"/>
      <w:lvlJc w:val="left"/>
      <w:pPr>
        <w:ind w:left="6242" w:hanging="360"/>
      </w:pPr>
      <w:rPr>
        <w:rFonts w:ascii="Courier New" w:hAnsi="Courier New" w:cs="Courier New" w:hint="default"/>
      </w:rPr>
    </w:lvl>
    <w:lvl w:ilvl="8" w:tplc="FFFFFFFF">
      <w:start w:val="1"/>
      <w:numFmt w:val="bullet"/>
      <w:lvlText w:val=""/>
      <w:lvlJc w:val="left"/>
      <w:pPr>
        <w:ind w:left="6962" w:hanging="360"/>
      </w:pPr>
      <w:rPr>
        <w:rFonts w:ascii="Wingdings" w:hAnsi="Wingdings" w:hint="default"/>
      </w:rPr>
    </w:lvl>
  </w:abstractNum>
  <w:abstractNum w:abstractNumId="50">
    <w:nsid w:val="657327A6"/>
    <w:multiLevelType w:val="hybridMultilevel"/>
    <w:tmpl w:val="1E1A32C0"/>
    <w:lvl w:ilvl="0" w:tplc="86ECAD8C">
      <w:start w:val="1"/>
      <w:numFmt w:val="decimal"/>
      <w:lvlText w:val="%1."/>
      <w:lvlJc w:val="left"/>
      <w:pPr>
        <w:ind w:left="1069" w:hanging="360"/>
      </w:pPr>
      <w:rPr>
        <w:rFonts w:eastAsia="Times New Roman"/>
        <w:b/>
      </w:rPr>
    </w:lvl>
    <w:lvl w:ilvl="1" w:tplc="041F0003">
      <w:start w:val="1"/>
      <w:numFmt w:val="bullet"/>
      <w:lvlText w:val="o"/>
      <w:lvlJc w:val="left"/>
      <w:pPr>
        <w:ind w:left="1789" w:hanging="360"/>
      </w:pPr>
      <w:rPr>
        <w:rFonts w:ascii="Courier New" w:hAnsi="Courier New" w:cs="Courier New" w:hint="default"/>
      </w:r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51">
    <w:nsid w:val="676C6509"/>
    <w:multiLevelType w:val="hybridMultilevel"/>
    <w:tmpl w:val="B4A013B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723" w:hanging="360"/>
      </w:pPr>
      <w:rPr>
        <w:rFonts w:ascii="Courier New" w:hAnsi="Courier New" w:cs="Courier New" w:hint="default"/>
      </w:rPr>
    </w:lvl>
    <w:lvl w:ilvl="2" w:tplc="041F0005">
      <w:start w:val="1"/>
      <w:numFmt w:val="bullet"/>
      <w:lvlText w:val=""/>
      <w:lvlJc w:val="left"/>
      <w:pPr>
        <w:ind w:left="2443" w:hanging="360"/>
      </w:pPr>
      <w:rPr>
        <w:rFonts w:ascii="Wingdings" w:hAnsi="Wingdings" w:hint="default"/>
      </w:rPr>
    </w:lvl>
    <w:lvl w:ilvl="3" w:tplc="041F0001">
      <w:start w:val="1"/>
      <w:numFmt w:val="bullet"/>
      <w:lvlText w:val=""/>
      <w:lvlJc w:val="left"/>
      <w:pPr>
        <w:ind w:left="3163" w:hanging="360"/>
      </w:pPr>
      <w:rPr>
        <w:rFonts w:ascii="Symbol" w:hAnsi="Symbol" w:hint="default"/>
      </w:rPr>
    </w:lvl>
    <w:lvl w:ilvl="4" w:tplc="041F0003">
      <w:start w:val="1"/>
      <w:numFmt w:val="bullet"/>
      <w:lvlText w:val="o"/>
      <w:lvlJc w:val="left"/>
      <w:pPr>
        <w:ind w:left="3883" w:hanging="360"/>
      </w:pPr>
      <w:rPr>
        <w:rFonts w:ascii="Courier New" w:hAnsi="Courier New" w:cs="Courier New" w:hint="default"/>
      </w:rPr>
    </w:lvl>
    <w:lvl w:ilvl="5" w:tplc="041F0005">
      <w:start w:val="1"/>
      <w:numFmt w:val="bullet"/>
      <w:lvlText w:val=""/>
      <w:lvlJc w:val="left"/>
      <w:pPr>
        <w:ind w:left="4603" w:hanging="360"/>
      </w:pPr>
      <w:rPr>
        <w:rFonts w:ascii="Wingdings" w:hAnsi="Wingdings" w:hint="default"/>
      </w:rPr>
    </w:lvl>
    <w:lvl w:ilvl="6" w:tplc="041F0001">
      <w:start w:val="1"/>
      <w:numFmt w:val="bullet"/>
      <w:lvlText w:val=""/>
      <w:lvlJc w:val="left"/>
      <w:pPr>
        <w:ind w:left="5323" w:hanging="360"/>
      </w:pPr>
      <w:rPr>
        <w:rFonts w:ascii="Symbol" w:hAnsi="Symbol" w:hint="default"/>
      </w:rPr>
    </w:lvl>
    <w:lvl w:ilvl="7" w:tplc="041F0003">
      <w:start w:val="1"/>
      <w:numFmt w:val="bullet"/>
      <w:lvlText w:val="o"/>
      <w:lvlJc w:val="left"/>
      <w:pPr>
        <w:ind w:left="6043" w:hanging="360"/>
      </w:pPr>
      <w:rPr>
        <w:rFonts w:ascii="Courier New" w:hAnsi="Courier New" w:cs="Courier New" w:hint="default"/>
      </w:rPr>
    </w:lvl>
    <w:lvl w:ilvl="8" w:tplc="041F0005">
      <w:start w:val="1"/>
      <w:numFmt w:val="bullet"/>
      <w:lvlText w:val=""/>
      <w:lvlJc w:val="left"/>
      <w:pPr>
        <w:ind w:left="6763" w:hanging="360"/>
      </w:pPr>
      <w:rPr>
        <w:rFonts w:ascii="Wingdings" w:hAnsi="Wingdings" w:hint="default"/>
      </w:rPr>
    </w:lvl>
  </w:abstractNum>
  <w:abstractNum w:abstractNumId="52">
    <w:nsid w:val="6F3A4A27"/>
    <w:multiLevelType w:val="hybridMultilevel"/>
    <w:tmpl w:val="E02C94E0"/>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3">
    <w:nsid w:val="6F5D017B"/>
    <w:multiLevelType w:val="hybridMultilevel"/>
    <w:tmpl w:val="EAE4AF2E"/>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4">
    <w:nsid w:val="6F5D03E2"/>
    <w:multiLevelType w:val="hybridMultilevel"/>
    <w:tmpl w:val="4AE812E2"/>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5">
    <w:nsid w:val="6F5E3B44"/>
    <w:multiLevelType w:val="hybridMultilevel"/>
    <w:tmpl w:val="AEC69254"/>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6">
    <w:nsid w:val="721F5431"/>
    <w:multiLevelType w:val="hybridMultilevel"/>
    <w:tmpl w:val="3F5059C8"/>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7">
    <w:nsid w:val="72545AC8"/>
    <w:multiLevelType w:val="hybridMultilevel"/>
    <w:tmpl w:val="FA64746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8">
    <w:nsid w:val="733A5367"/>
    <w:multiLevelType w:val="hybridMultilevel"/>
    <w:tmpl w:val="C4CE9A18"/>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59">
    <w:nsid w:val="750E7D14"/>
    <w:multiLevelType w:val="multilevel"/>
    <w:tmpl w:val="8C90DBB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66F5306"/>
    <w:multiLevelType w:val="hybridMultilevel"/>
    <w:tmpl w:val="9E2ECA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1">
    <w:nsid w:val="76AC08B4"/>
    <w:multiLevelType w:val="hybridMultilevel"/>
    <w:tmpl w:val="3234445C"/>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62">
    <w:nsid w:val="77BE79C3"/>
    <w:multiLevelType w:val="hybridMultilevel"/>
    <w:tmpl w:val="E9CE16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3">
    <w:nsid w:val="79E92DEF"/>
    <w:multiLevelType w:val="hybridMultilevel"/>
    <w:tmpl w:val="AF8E7AB6"/>
    <w:lvl w:ilvl="0" w:tplc="FFFFFFFF">
      <w:start w:val="1"/>
      <w:numFmt w:val="bullet"/>
      <w:lvlText w:val=""/>
      <w:lvlJc w:val="left"/>
      <w:pPr>
        <w:ind w:left="643" w:hanging="360"/>
      </w:pPr>
      <w:rPr>
        <w:rFonts w:ascii="Symbol" w:hAnsi="Symbol" w:hint="default"/>
        <w:color w:val="AC182D"/>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64">
    <w:nsid w:val="7CD0089B"/>
    <w:multiLevelType w:val="hybridMultilevel"/>
    <w:tmpl w:val="9906DF38"/>
    <w:lvl w:ilvl="0" w:tplc="FFFFFFFF">
      <w:start w:val="1"/>
      <w:numFmt w:val="bullet"/>
      <w:lvlText w:val=""/>
      <w:lvlJc w:val="left"/>
      <w:pPr>
        <w:ind w:left="502" w:hanging="360"/>
      </w:pPr>
      <w:rPr>
        <w:rFonts w:ascii="Symbol" w:hAnsi="Symbol" w:hint="default"/>
        <w:color w:val="AC182D"/>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65">
    <w:nsid w:val="7DE812EB"/>
    <w:multiLevelType w:val="hybridMultilevel"/>
    <w:tmpl w:val="DC94A872"/>
    <w:lvl w:ilvl="0" w:tplc="FFFFFFFF">
      <w:start w:val="1"/>
      <w:numFmt w:val="bullet"/>
      <w:lvlText w:val=""/>
      <w:lvlJc w:val="left"/>
      <w:pPr>
        <w:ind w:left="644" w:hanging="360"/>
      </w:pPr>
      <w:rPr>
        <w:rFonts w:ascii="Symbol" w:hAnsi="Symbol" w:hint="default"/>
        <w:b w:val="0"/>
        <w:color w:val="AC182D"/>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6">
    <w:nsid w:val="7FBD5171"/>
    <w:multiLevelType w:val="hybridMultilevel"/>
    <w:tmpl w:val="46302EF2"/>
    <w:lvl w:ilvl="0" w:tplc="FFFFFFFF">
      <w:start w:val="1"/>
      <w:numFmt w:val="bullet"/>
      <w:lvlText w:val=""/>
      <w:lvlJc w:val="left"/>
      <w:pPr>
        <w:ind w:left="501" w:hanging="360"/>
      </w:pPr>
      <w:rPr>
        <w:rFonts w:ascii="Symbol" w:hAnsi="Symbol" w:hint="default"/>
        <w:color w:val="AC182D"/>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37"/>
  </w:num>
  <w:num w:numId="2">
    <w:abstractNumId w:val="3"/>
  </w:num>
  <w:num w:numId="3">
    <w:abstractNumId w:val="43"/>
  </w:num>
  <w:num w:numId="4">
    <w:abstractNumId w:val="65"/>
  </w:num>
  <w:num w:numId="5">
    <w:abstractNumId w:val="52"/>
  </w:num>
  <w:num w:numId="6">
    <w:abstractNumId w:val="6"/>
  </w:num>
  <w:num w:numId="7">
    <w:abstractNumId w:val="58"/>
  </w:num>
  <w:num w:numId="8">
    <w:abstractNumId w:val="38"/>
  </w:num>
  <w:num w:numId="9">
    <w:abstractNumId w:val="48"/>
  </w:num>
  <w:num w:numId="10">
    <w:abstractNumId w:val="30"/>
  </w:num>
  <w:num w:numId="11">
    <w:abstractNumId w:val="18"/>
  </w:num>
  <w:num w:numId="12">
    <w:abstractNumId w:val="36"/>
  </w:num>
  <w:num w:numId="13">
    <w:abstractNumId w:val="7"/>
  </w:num>
  <w:num w:numId="14">
    <w:abstractNumId w:val="27"/>
  </w:num>
  <w:num w:numId="15">
    <w:abstractNumId w:val="63"/>
  </w:num>
  <w:num w:numId="16">
    <w:abstractNumId w:val="28"/>
  </w:num>
  <w:num w:numId="17">
    <w:abstractNumId w:val="56"/>
  </w:num>
  <w:num w:numId="18">
    <w:abstractNumId w:val="54"/>
  </w:num>
  <w:num w:numId="19">
    <w:abstractNumId w:val="2"/>
  </w:num>
  <w:num w:numId="20">
    <w:abstractNumId w:val="20"/>
  </w:num>
  <w:num w:numId="21">
    <w:abstractNumId w:val="46"/>
  </w:num>
  <w:num w:numId="22">
    <w:abstractNumId w:val="53"/>
  </w:num>
  <w:num w:numId="23">
    <w:abstractNumId w:val="35"/>
  </w:num>
  <w:num w:numId="24">
    <w:abstractNumId w:val="19"/>
  </w:num>
  <w:num w:numId="25">
    <w:abstractNumId w:val="22"/>
  </w:num>
  <w:num w:numId="26">
    <w:abstractNumId w:val="25"/>
  </w:num>
  <w:num w:numId="27">
    <w:abstractNumId w:val="24"/>
  </w:num>
  <w:num w:numId="28">
    <w:abstractNumId w:val="41"/>
  </w:num>
  <w:num w:numId="29">
    <w:abstractNumId w:val="26"/>
  </w:num>
  <w:num w:numId="30">
    <w:abstractNumId w:val="61"/>
  </w:num>
  <w:num w:numId="31">
    <w:abstractNumId w:val="17"/>
  </w:num>
  <w:num w:numId="32">
    <w:abstractNumId w:val="29"/>
  </w:num>
  <w:num w:numId="33">
    <w:abstractNumId w:val="31"/>
  </w:num>
  <w:num w:numId="34">
    <w:abstractNumId w:val="13"/>
  </w:num>
  <w:num w:numId="35">
    <w:abstractNumId w:val="64"/>
  </w:num>
  <w:num w:numId="36">
    <w:abstractNumId w:val="55"/>
  </w:num>
  <w:num w:numId="37">
    <w:abstractNumId w:val="45"/>
  </w:num>
  <w:num w:numId="38">
    <w:abstractNumId w:val="33"/>
  </w:num>
  <w:num w:numId="39">
    <w:abstractNumId w:val="4"/>
  </w:num>
  <w:num w:numId="40">
    <w:abstractNumId w:val="51"/>
  </w:num>
  <w:num w:numId="41">
    <w:abstractNumId w:val="57"/>
  </w:num>
  <w:num w:numId="42">
    <w:abstractNumId w:val="66"/>
  </w:num>
  <w:num w:numId="43">
    <w:abstractNumId w:val="15"/>
  </w:num>
  <w:num w:numId="44">
    <w:abstractNumId w:val="23"/>
  </w:num>
  <w:num w:numId="45">
    <w:abstractNumId w:val="16"/>
  </w:num>
  <w:num w:numId="46">
    <w:abstractNumId w:val="12"/>
  </w:num>
  <w:num w:numId="47">
    <w:abstractNumId w:val="60"/>
  </w:num>
  <w:num w:numId="48">
    <w:abstractNumId w:val="10"/>
  </w:num>
  <w:num w:numId="49">
    <w:abstractNumId w:val="62"/>
  </w:num>
  <w:num w:numId="5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11"/>
  </w:num>
  <w:num w:numId="53">
    <w:abstractNumId w:val="5"/>
  </w:num>
  <w:num w:numId="54">
    <w:abstractNumId w:val="9"/>
  </w:num>
  <w:num w:numId="55">
    <w:abstractNumId w:val="34"/>
  </w:num>
  <w:num w:numId="56">
    <w:abstractNumId w:val="47"/>
  </w:num>
  <w:num w:numId="57">
    <w:abstractNumId w:val="21"/>
  </w:num>
  <w:num w:numId="58">
    <w:abstractNumId w:val="1"/>
  </w:num>
  <w:num w:numId="59">
    <w:abstractNumId w:val="40"/>
  </w:num>
  <w:num w:numId="60">
    <w:abstractNumId w:val="0"/>
  </w:num>
  <w:num w:numId="61">
    <w:abstractNumId w:val="39"/>
  </w:num>
  <w:num w:numId="62">
    <w:abstractNumId w:val="42"/>
  </w:num>
  <w:num w:numId="63">
    <w:abstractNumId w:val="59"/>
  </w:num>
  <w:num w:numId="64">
    <w:abstractNumId w:val="44"/>
  </w:num>
  <w:num w:numId="65">
    <w:abstractNumId w:val="32"/>
  </w:num>
  <w:num w:numId="66">
    <w:abstractNumId w:val="14"/>
  </w:num>
  <w:num w:numId="67">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92"/>
    <w:rsid w:val="00006EA4"/>
    <w:rsid w:val="00010F94"/>
    <w:rsid w:val="00023DDE"/>
    <w:rsid w:val="00025CE8"/>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A92"/>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66D5"/>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102E"/>
    <w:rsid w:val="002C65FE"/>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5083"/>
    <w:rsid w:val="004273F7"/>
    <w:rsid w:val="00431A80"/>
    <w:rsid w:val="004422F3"/>
    <w:rsid w:val="004517A8"/>
    <w:rsid w:val="0045319F"/>
    <w:rsid w:val="0045716E"/>
    <w:rsid w:val="00492056"/>
    <w:rsid w:val="004937DF"/>
    <w:rsid w:val="00494C39"/>
    <w:rsid w:val="00496D8B"/>
    <w:rsid w:val="004B12DA"/>
    <w:rsid w:val="004B5C60"/>
    <w:rsid w:val="004B7F2C"/>
    <w:rsid w:val="004D59B1"/>
    <w:rsid w:val="004D750A"/>
    <w:rsid w:val="004E65BC"/>
    <w:rsid w:val="004F00F8"/>
    <w:rsid w:val="004F131F"/>
    <w:rsid w:val="0050417B"/>
    <w:rsid w:val="00510DE4"/>
    <w:rsid w:val="005117E3"/>
    <w:rsid w:val="00525D79"/>
    <w:rsid w:val="00533A92"/>
    <w:rsid w:val="00540626"/>
    <w:rsid w:val="00545D00"/>
    <w:rsid w:val="005652EE"/>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35F"/>
    <w:rsid w:val="00625987"/>
    <w:rsid w:val="0064234B"/>
    <w:rsid w:val="00661167"/>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C0FDE"/>
    <w:rsid w:val="006D0ED8"/>
    <w:rsid w:val="006D4483"/>
    <w:rsid w:val="006D72AA"/>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3036E"/>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0B16"/>
    <w:rsid w:val="009E2116"/>
    <w:rsid w:val="009E647F"/>
    <w:rsid w:val="009F4623"/>
    <w:rsid w:val="00A115A8"/>
    <w:rsid w:val="00A35DC0"/>
    <w:rsid w:val="00A40877"/>
    <w:rsid w:val="00A57573"/>
    <w:rsid w:val="00A575EC"/>
    <w:rsid w:val="00A6507F"/>
    <w:rsid w:val="00A77709"/>
    <w:rsid w:val="00A809A6"/>
    <w:rsid w:val="00A82BA5"/>
    <w:rsid w:val="00A84055"/>
    <w:rsid w:val="00AB048E"/>
    <w:rsid w:val="00AC5E08"/>
    <w:rsid w:val="00AE4D5B"/>
    <w:rsid w:val="00B02767"/>
    <w:rsid w:val="00B03356"/>
    <w:rsid w:val="00B062A4"/>
    <w:rsid w:val="00B07092"/>
    <w:rsid w:val="00B07283"/>
    <w:rsid w:val="00B17298"/>
    <w:rsid w:val="00B22CF8"/>
    <w:rsid w:val="00B22D72"/>
    <w:rsid w:val="00B243FD"/>
    <w:rsid w:val="00B2465E"/>
    <w:rsid w:val="00B260A3"/>
    <w:rsid w:val="00B27352"/>
    <w:rsid w:val="00B441E8"/>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0F05"/>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4963"/>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C74B9"/>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2B42"/>
    <w:rsid w:val="00DF3BB4"/>
    <w:rsid w:val="00DF62AB"/>
    <w:rsid w:val="00DF6590"/>
    <w:rsid w:val="00DF70F5"/>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A5"/>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uiPriority w:val="99"/>
    <w:rsid w:val="003C0C1E"/>
    <w:pPr>
      <w:tabs>
        <w:tab w:val="center" w:pos="4536"/>
        <w:tab w:val="right" w:pos="9072"/>
      </w:tabs>
    </w:pPr>
  </w:style>
  <w:style w:type="paragraph" w:styleId="GvdeMetni">
    <w:name w:val="Body Text"/>
    <w:basedOn w:val="Normal"/>
    <w:link w:val="GvdeMetniChar"/>
    <w:uiPriority w:val="99"/>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uiPriority w:val="99"/>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rsid w:val="00BE5F05"/>
    <w:rPr>
      <w:rFonts w:ascii="Tahoma" w:hAnsi="Tahoma" w:cs="Tahoma"/>
      <w:sz w:val="16"/>
      <w:szCs w:val="16"/>
    </w:rPr>
  </w:style>
  <w:style w:type="character" w:customStyle="1" w:styleId="BalonMetniChar">
    <w:name w:val="Balon Metni Char"/>
    <w:link w:val="BalonMetni"/>
    <w:uiPriority w:val="99"/>
    <w:rsid w:val="00BE5F05"/>
    <w:rPr>
      <w:rFonts w:ascii="Tahoma" w:hAnsi="Tahoma" w:cs="Tahoma"/>
      <w:sz w:val="16"/>
      <w:szCs w:val="16"/>
    </w:rPr>
  </w:style>
  <w:style w:type="character" w:customStyle="1" w:styleId="AltbilgiChar">
    <w:name w:val="Altbilgi Char"/>
    <w:link w:val="Altbilgi"/>
    <w:uiPriority w:val="99"/>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uiPriority w:val="99"/>
    <w:rsid w:val="007A2926"/>
    <w:rPr>
      <w:sz w:val="20"/>
      <w:szCs w:val="20"/>
    </w:rPr>
  </w:style>
  <w:style w:type="character" w:customStyle="1" w:styleId="DipnotMetniChar">
    <w:name w:val="Dipnot Metni Char"/>
    <w:basedOn w:val="VarsaylanParagrafYazTipi"/>
    <w:link w:val="DipnotMetni"/>
    <w:uiPriority w:val="99"/>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rsid w:val="00025CE8"/>
    <w:rPr>
      <w:rFonts w:eastAsia="Times New Roman"/>
      <w:sz w:val="20"/>
      <w:szCs w:val="20"/>
    </w:rPr>
  </w:style>
  <w:style w:type="character" w:customStyle="1" w:styleId="SonnotMetniChar">
    <w:name w:val="Sonnot Metni Char"/>
    <w:basedOn w:val="VarsaylanParagrafYazTipi"/>
    <w:link w:val="SonnotMetni"/>
    <w:rsid w:val="00025CE8"/>
  </w:style>
  <w:style w:type="character" w:styleId="SonnotBavurusu">
    <w:name w:val="endnote reference"/>
    <w:rsid w:val="00025CE8"/>
    <w:rPr>
      <w:vertAlign w:val="superscript"/>
    </w:rPr>
  </w:style>
  <w:style w:type="character" w:styleId="zlenenKpr">
    <w:name w:val="FollowedHyperlink"/>
    <w:basedOn w:val="VarsaylanParagrafYazTipi"/>
    <w:uiPriority w:val="99"/>
    <w:unhideWhenUsed/>
    <w:rsid w:val="00B441E8"/>
    <w:rPr>
      <w:color w:val="954F72" w:themeColor="followedHyperlink"/>
      <w:u w:val="single"/>
    </w:rPr>
  </w:style>
  <w:style w:type="paragraph" w:customStyle="1" w:styleId="msonormal0">
    <w:name w:val="msonormal"/>
    <w:basedOn w:val="Normal"/>
    <w:uiPriority w:val="99"/>
    <w:rsid w:val="00B441E8"/>
    <w:pPr>
      <w:spacing w:before="100" w:beforeAutospacing="1" w:after="100" w:afterAutospacing="1"/>
    </w:pPr>
    <w:rPr>
      <w:rFonts w:eastAsia="Times New Roman"/>
      <w:sz w:val="24"/>
      <w:szCs w:val="24"/>
    </w:rPr>
  </w:style>
  <w:style w:type="character" w:customStyle="1" w:styleId="stbilgiChar">
    <w:name w:val="Üstbilgi Char"/>
    <w:basedOn w:val="VarsaylanParagrafYazTipi"/>
    <w:link w:val="stbilgi"/>
    <w:uiPriority w:val="99"/>
    <w:rsid w:val="00B441E8"/>
    <w:rPr>
      <w:rFonts w:eastAsiaTheme="minorEastAsia"/>
      <w:sz w:val="22"/>
      <w:szCs w:val="22"/>
    </w:rPr>
  </w:style>
  <w:style w:type="character" w:customStyle="1" w:styleId="GvdeMetniChar">
    <w:name w:val="Gövde Metni Char"/>
    <w:basedOn w:val="VarsaylanParagrafYazTipi"/>
    <w:link w:val="GvdeMetni"/>
    <w:uiPriority w:val="99"/>
    <w:rsid w:val="00B441E8"/>
    <w:rPr>
      <w:rFonts w:ascii="Arial" w:eastAsiaTheme="minorEastAsia" w:hAnsi="Arial"/>
    </w:rPr>
  </w:style>
  <w:style w:type="character" w:customStyle="1" w:styleId="GvdeMetniGirintisi2Char">
    <w:name w:val="Gövde Metni Girintisi 2 Char"/>
    <w:basedOn w:val="VarsaylanParagrafYazTipi"/>
    <w:link w:val="GvdeMetniGirintisi2"/>
    <w:locked/>
    <w:rsid w:val="00B441E8"/>
    <w:rPr>
      <w:rFonts w:eastAsiaTheme="minorEastAsia"/>
      <w:sz w:val="22"/>
    </w:rPr>
  </w:style>
  <w:style w:type="paragraph" w:customStyle="1" w:styleId="msobodytextindent2">
    <w:name w:val="msobodytextindent2"/>
    <w:basedOn w:val="Normal"/>
    <w:uiPriority w:val="99"/>
    <w:rsid w:val="00B441E8"/>
    <w:pPr>
      <w:tabs>
        <w:tab w:val="left" w:pos="7088"/>
      </w:tabs>
      <w:ind w:firstLine="360"/>
      <w:jc w:val="both"/>
    </w:pPr>
    <w:rPr>
      <w:rFonts w:eastAsia="Times New Roman"/>
      <w:sz w:val="24"/>
      <w:szCs w:val="20"/>
    </w:rPr>
  </w:style>
  <w:style w:type="character" w:customStyle="1" w:styleId="GvdeMetniGirintisi2Char1">
    <w:name w:val="Gövde Metni Girintisi 2 Char1"/>
    <w:basedOn w:val="VarsaylanParagrafYazTipi"/>
    <w:semiHidden/>
    <w:rsid w:val="00B441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5467">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9197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footer" Target="/word/footer3.xml" Id="rId34" /><Relationship Type="http://schemas.openxmlformats.org/officeDocument/2006/relationships/endnotes" Target="/word/endnotes.xml" Id="rId7" /><Relationship Type="http://schemas.openxmlformats.org/officeDocument/2006/relationships/header" Target="/word/header3.xml" Id="rId33" /><Relationship Type="http://schemas.openxmlformats.org/officeDocument/2006/relationships/numbering" Target="/word/numbering.xml" Id="rId2" /><Relationship Type="http://schemas.openxmlformats.org/officeDocument/2006/relationships/header" Target="/word/header1.xml" Id="rId29"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32" /><Relationship Type="http://schemas.openxmlformats.org/officeDocument/2006/relationships/webSettings" Target="/word/webSettings.xml" Id="rId5" /><Relationship Type="http://schemas.openxmlformats.org/officeDocument/2006/relationships/theme" Target="/word/theme/theme1.xml" Id="rId36" /><Relationship Type="http://schemas.openxmlformats.org/officeDocument/2006/relationships/footer" Target="/word/footer1.xml" Id="rId31" /><Relationship Type="http://schemas.openxmlformats.org/officeDocument/2006/relationships/settings" Target="/word/settings.xml" Id="rId4" /><Relationship Type="http://schemas.openxmlformats.org/officeDocument/2006/relationships/header" Target="/word/header2.xml" Id="rId30" /><Relationship Type="http://schemas.openxmlformats.org/officeDocument/2006/relationships/fontTable" Target="/word/fontTable.xml" Id="rId35" /><Relationship Type="http://schemas.openxmlformats.org/officeDocument/2006/relationships/hyperlink" Target="http://fenbilimleri.ikc.edu.tr/Share/36F2E94B7684E378B759B8F2BD8A2FBA" TargetMode="External" Id="rId13" /><Relationship Type="http://schemas.openxmlformats.org/officeDocument/2006/relationships/hyperlink" Target="https://fenbilimleri.ikcu.edu.tr/Share/0619E71FDB7CBE5493D60C850D2F24D9" TargetMode="External" Id="rId18" /><Relationship Type="http://schemas.openxmlformats.org/officeDocument/2006/relationships/hyperlink" Target="http://fenbilimleri.ikc.edu.tr/Share/355681713790A1E38705B31721B4D506" TargetMode="External" Id="rId26" /><Relationship Type="http://schemas.openxmlformats.org/officeDocument/2006/relationships/hyperlink" Target="http://fenbilimleri.ikc.edu.tr/Share/485B0984BE82121FE04417799A6A81DB" TargetMode="External" Id="rId21" /><Relationship Type="http://schemas.openxmlformats.org/officeDocument/2006/relationships/hyperlink" Target="http://fenbilimleri.ikc.edu.tr/Share/71AE1FDB170EEDBD5FEB391B174148EB" TargetMode="External" Id="rId12" /><Relationship Type="http://schemas.openxmlformats.org/officeDocument/2006/relationships/hyperlink" Target="https://fenbilimleri.ikcu.edu.tr/Share/465FF238AF016F05F24DA0A8B3436E3A" TargetMode="External" Id="rId17" /><Relationship Type="http://schemas.openxmlformats.org/officeDocument/2006/relationships/hyperlink" Target="http://fenbilimleri.ikc.edu.tr/Share/239FCDD83968907CC886C52A54D3804B" TargetMode="External" Id="rId25" /><Relationship Type="http://schemas.openxmlformats.org/officeDocument/2006/relationships/hyperlink" Target="https://fenbilimleri.ikcu.edu.tr/Share/C1F16F7D04CC6B0F7D0F8E9C1C1AEF2E" TargetMode="External" Id="rId16" /><Relationship Type="http://schemas.openxmlformats.org/officeDocument/2006/relationships/hyperlink" Target="https://fenbilimleri.ikcu.edu.tr/Share/B991744925788F3AEBD65C42AB4900F1" TargetMode="External" Id="rId20" /><Relationship Type="http://schemas.openxmlformats.org/officeDocument/2006/relationships/hyperlink" Target="http://fenbilimleri.ikc.edu.tr/Share/915DE8BE1C1ADE0E446D617FFE5A75F8" TargetMode="External" Id="rId11" /><Relationship Type="http://schemas.openxmlformats.org/officeDocument/2006/relationships/hyperlink" Target="http://fenbilimleri.ikc.edu.tr/Share/0586FC3698058142087DE11452037E39" TargetMode="External" Id="rId24" /><Relationship Type="http://schemas.openxmlformats.org/officeDocument/2006/relationships/hyperlink" Target="https://fenbilimleri.ikcu.edu.tr/Share/2D250296AFEBE8BE7D5660CC38617CA1" TargetMode="External" Id="rId15" /><Relationship Type="http://schemas.openxmlformats.org/officeDocument/2006/relationships/hyperlink" Target="http://fenbilimleri.ikc.edu.tr/Share/30F1FB68B64F1D32061354E5A2514DD2" TargetMode="External" Id="rId23" /><Relationship Type="http://schemas.openxmlformats.org/officeDocument/2006/relationships/hyperlink" Target="https://fenbilimleri.ikcu.edu.tr/Share/A21129F8C7AA7B3285D3CBEB1EAD2F35" TargetMode="External" Id="rId28" /><Relationship Type="http://schemas.openxmlformats.org/officeDocument/2006/relationships/hyperlink" Target="http://fenbilimleri.ikc.edu.tr/Share/C98CB5174723834D2FC488A91C7E1481" TargetMode="External" Id="rId10" /><Relationship Type="http://schemas.openxmlformats.org/officeDocument/2006/relationships/hyperlink" Target="https://fenbilimleri.ikcu.edu.tr/Share/7F9015C53C117A082C3A082C3DBF39B7" TargetMode="External" Id="rId19" /><Relationship Type="http://schemas.openxmlformats.org/officeDocument/2006/relationships/hyperlink" Target="http://fenbilimleri.ikc.edu.tr/Share/D800FB5C5B2E01ABB64EE9CFCE912316" TargetMode="External" Id="rId9" /><Relationship Type="http://schemas.openxmlformats.org/officeDocument/2006/relationships/hyperlink" Target="https://fenbilimleri.ikcu.edu.tr/Share/4F7EBA28A63DC61983E8F086AA8A580E" TargetMode="External" Id="rId14" /><Relationship Type="http://schemas.openxmlformats.org/officeDocument/2006/relationships/hyperlink" Target="http://fenbilimleri.ikc.edu.tr/Share/8971A2633B10CF5D588EF83F192B7FCA" TargetMode="External" Id="rId22" /><Relationship Type="http://schemas.openxmlformats.org/officeDocument/2006/relationships/hyperlink" Target="http://fenbilimleri.ikc.edu.tr/Share/3E6B516AF481B50AC4A2FE610914C0C5" TargetMode="External" Id="rId27" /><Relationship Type="http://schemas.openxmlformats.org/officeDocument/2006/relationships/hyperlink" Target="https://tez.yok.gov.tr/UlusalTezMerkezi/" TargetMode="External" Id="rId8" /><Relationship Type="http://schemas.openxmlformats.org/officeDocument/2006/relationships/footer" Target="/word/footer4.xml" Id="R54c96b5d85f34cdc"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DDCD-7672-42E3-85B0-E0C0C572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Klinik.dotx</Template>
  <TotalTime>1</TotalTime>
  <Pages>6</Pages>
  <Words>2796</Words>
  <Characters>15938</Characters>
  <Application>Microsoft Office Word</Application>
  <DocSecurity>0</DocSecurity>
  <Lines>132</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Asus-A6410</dc:creator>
  <cp:keywords/>
  <cp:lastModifiedBy>Asus-A6410</cp:lastModifiedBy>
  <cp:revision>1</cp:revision>
  <cp:lastPrinted>2018-09-24T13:03:00Z</cp:lastPrinted>
  <dcterms:created xsi:type="dcterms:W3CDTF">2024-12-04T07:23:00Z</dcterms:created>
  <dcterms:modified xsi:type="dcterms:W3CDTF">2024-12-04T07:24:00Z</dcterms:modified>
</cp:coreProperties>
</file>